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78CF" w14:textId="0158B00E" w:rsidR="002A7F92" w:rsidRDefault="002A7F92" w:rsidP="00441377">
      <w:pPr>
        <w:pStyle w:val="NormalWeb"/>
        <w:spacing w:before="0" w:beforeAutospacing="0" w:after="0" w:afterAutospacing="0"/>
        <w:ind w:firstLine="720"/>
        <w:jc w:val="right"/>
        <w:rPr>
          <w:rFonts w:ascii="Arial" w:hAnsi="Arial"/>
          <w:color w:val="5C2483"/>
          <w:sz w:val="21"/>
          <w:szCs w:val="21"/>
        </w:rPr>
      </w:pPr>
      <w:r>
        <w:rPr>
          <w:rFonts w:ascii="Arial" w:hAnsi="Arial"/>
          <w:color w:val="5C2483"/>
          <w:sz w:val="21"/>
          <w:szCs w:val="21"/>
        </w:rPr>
        <w:t xml:space="preserve">Communiqué de presse, le </w:t>
      </w:r>
      <w:r w:rsidR="008B5AB9">
        <w:rPr>
          <w:rFonts w:ascii="Arial" w:hAnsi="Arial"/>
          <w:color w:val="5C2483"/>
          <w:sz w:val="21"/>
          <w:szCs w:val="21"/>
        </w:rPr>
        <w:t>26</w:t>
      </w:r>
      <w:r>
        <w:rPr>
          <w:rFonts w:ascii="Arial" w:hAnsi="Arial"/>
          <w:color w:val="5C2483"/>
          <w:sz w:val="21"/>
          <w:szCs w:val="21"/>
        </w:rPr>
        <w:t xml:space="preserve"> janvier 2022</w:t>
      </w:r>
    </w:p>
    <w:p w14:paraId="177DF624" w14:textId="77777777" w:rsidR="00A04DE1" w:rsidRPr="000522A2" w:rsidRDefault="00A04DE1" w:rsidP="00441377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14:paraId="018F650F" w14:textId="6FA675DC" w:rsidR="009F2F93" w:rsidRPr="00441377" w:rsidRDefault="00441377" w:rsidP="00441377">
      <w:pPr>
        <w:pStyle w:val="Titre1Eden"/>
        <w:spacing w:before="0" w:line="240" w:lineRule="auto"/>
        <w:jc w:val="center"/>
        <w:rPr>
          <w:color w:val="FF4C00" w:themeColor="accent3"/>
          <w:sz w:val="28"/>
          <w:szCs w:val="28"/>
        </w:rPr>
      </w:pPr>
      <w:r w:rsidRPr="00441377">
        <w:rPr>
          <w:color w:val="FF4C00" w:themeColor="accent3"/>
          <w:sz w:val="28"/>
          <w:szCs w:val="28"/>
        </w:rPr>
        <w:t>Élection</w:t>
      </w:r>
      <w:r w:rsidR="009F2F93" w:rsidRPr="00441377">
        <w:rPr>
          <w:color w:val="FF4C00" w:themeColor="accent3"/>
          <w:sz w:val="28"/>
          <w:szCs w:val="28"/>
        </w:rPr>
        <w:t xml:space="preserve"> présidentielle</w:t>
      </w:r>
      <w:r w:rsidRPr="00441377">
        <w:rPr>
          <w:color w:val="FF4C00" w:themeColor="accent3"/>
          <w:sz w:val="28"/>
          <w:szCs w:val="28"/>
        </w:rPr>
        <w:t> :</w:t>
      </w:r>
    </w:p>
    <w:p w14:paraId="20738CB8" w14:textId="78EEF08E" w:rsidR="009F2F93" w:rsidRPr="00441377" w:rsidRDefault="009F2F93" w:rsidP="00441377">
      <w:pPr>
        <w:pStyle w:val="Titre1Eden"/>
        <w:spacing w:before="0" w:line="240" w:lineRule="auto"/>
        <w:jc w:val="center"/>
        <w:rPr>
          <w:sz w:val="28"/>
          <w:szCs w:val="28"/>
        </w:rPr>
      </w:pPr>
      <w:r w:rsidRPr="00441377">
        <w:rPr>
          <w:sz w:val="28"/>
          <w:szCs w:val="28"/>
        </w:rPr>
        <w:t>Equilibre des Energies fait 13 propositions aux candidats en faveur du climat</w:t>
      </w:r>
    </w:p>
    <w:p w14:paraId="198A6253" w14:textId="77777777" w:rsidR="00D570CA" w:rsidRPr="00441377" w:rsidRDefault="00D570CA" w:rsidP="00441377">
      <w:pPr>
        <w:pStyle w:val="Titre1Eden"/>
        <w:spacing w:before="0" w:line="240" w:lineRule="auto"/>
        <w:rPr>
          <w:color w:val="auto"/>
          <w:sz w:val="24"/>
          <w:szCs w:val="24"/>
        </w:rPr>
      </w:pPr>
    </w:p>
    <w:p w14:paraId="41A301CC" w14:textId="4997E7C5" w:rsidR="002A7F92" w:rsidRPr="002A7F92" w:rsidRDefault="00CE6D5E" w:rsidP="00441377">
      <w:pPr>
        <w:pStyle w:val="TextecourantEdEn"/>
        <w:spacing w:line="240" w:lineRule="auto"/>
        <w:rPr>
          <w:b/>
          <w:bCs/>
        </w:rPr>
      </w:pPr>
      <w:r>
        <w:rPr>
          <w:b/>
          <w:bCs/>
        </w:rPr>
        <w:t xml:space="preserve">Changement climatique et décarbonation de l’économie, </w:t>
      </w:r>
      <w:r w:rsidRPr="002A7F92">
        <w:rPr>
          <w:b/>
          <w:bCs/>
        </w:rPr>
        <w:t>hausse des prix</w:t>
      </w:r>
      <w:r>
        <w:rPr>
          <w:b/>
          <w:bCs/>
        </w:rPr>
        <w:t xml:space="preserve"> de l’énergie,</w:t>
      </w:r>
      <w:r w:rsidRPr="002A7F92">
        <w:rPr>
          <w:b/>
          <w:bCs/>
        </w:rPr>
        <w:t xml:space="preserve"> évolution du mix </w:t>
      </w:r>
      <w:r>
        <w:rPr>
          <w:b/>
          <w:bCs/>
        </w:rPr>
        <w:t>électrique</w:t>
      </w:r>
      <w:r w:rsidRPr="002A7F92">
        <w:rPr>
          <w:b/>
          <w:bCs/>
        </w:rPr>
        <w:t xml:space="preserve">, </w:t>
      </w:r>
      <w:r>
        <w:rPr>
          <w:b/>
          <w:bCs/>
        </w:rPr>
        <w:t xml:space="preserve">rôle de la France dans la politique </w:t>
      </w:r>
      <w:r w:rsidR="00A04DE1">
        <w:rPr>
          <w:b/>
          <w:bCs/>
        </w:rPr>
        <w:t xml:space="preserve">énergétique </w:t>
      </w:r>
      <w:r>
        <w:rPr>
          <w:b/>
          <w:bCs/>
        </w:rPr>
        <w:t>européenne, v</w:t>
      </w:r>
      <w:r w:rsidR="002A7F92" w:rsidRPr="002A7F92">
        <w:rPr>
          <w:b/>
          <w:bCs/>
        </w:rPr>
        <w:t>olonté des citoyens de contribuer à la transition</w:t>
      </w:r>
      <w:r>
        <w:rPr>
          <w:b/>
          <w:bCs/>
        </w:rPr>
        <w:t xml:space="preserve"> </w:t>
      </w:r>
      <w:r w:rsidR="00A04DE1">
        <w:rPr>
          <w:b/>
          <w:bCs/>
        </w:rPr>
        <w:t>écologique</w:t>
      </w:r>
      <w:r w:rsidR="00ED6400">
        <w:rPr>
          <w:b/>
          <w:bCs/>
        </w:rPr>
        <w:t>, la</w:t>
      </w:r>
      <w:r w:rsidR="00017AA7">
        <w:rPr>
          <w:b/>
          <w:bCs/>
        </w:rPr>
        <w:t xml:space="preserve"> stratégie Energie-Climat doit être au cœur de</w:t>
      </w:r>
      <w:r>
        <w:rPr>
          <w:b/>
          <w:bCs/>
        </w:rPr>
        <w:t xml:space="preserve"> la</w:t>
      </w:r>
      <w:r w:rsidR="00017AA7">
        <w:rPr>
          <w:b/>
          <w:bCs/>
        </w:rPr>
        <w:t xml:space="preserve"> prochaine élection présidentielle</w:t>
      </w:r>
    </w:p>
    <w:p w14:paraId="2588C7FA" w14:textId="44DB4A80" w:rsidR="002A7F92" w:rsidRDefault="002A7F92" w:rsidP="000522A2">
      <w:pPr>
        <w:pStyle w:val="TextecourantEdEn"/>
        <w:spacing w:line="240" w:lineRule="auto"/>
      </w:pPr>
      <w:r>
        <w:t xml:space="preserve">Dans ce contexte, </w:t>
      </w:r>
      <w:r w:rsidR="008B5AB9">
        <w:t>le groupe de réflexion</w:t>
      </w:r>
      <w:r>
        <w:t xml:space="preserve"> Équilibre des Énergies soumet ses propositions </w:t>
      </w:r>
      <w:r w:rsidRPr="000522A2">
        <w:t xml:space="preserve">« </w:t>
      </w:r>
      <w:r w:rsidRPr="004313E8">
        <w:rPr>
          <w:i/>
          <w:iCs/>
        </w:rPr>
        <w:t>Élection présidentielle : l’énergie doit être au cœur des débats</w:t>
      </w:r>
      <w:r w:rsidRPr="000522A2">
        <w:t xml:space="preserve"> </w:t>
      </w:r>
      <w:r>
        <w:t>» aux candidats</w:t>
      </w:r>
      <w:r w:rsidR="00A04DE1" w:rsidRPr="00A04DE1">
        <w:rPr>
          <w:sz w:val="24"/>
          <w:szCs w:val="24"/>
        </w:rPr>
        <w:t xml:space="preserve"> </w:t>
      </w:r>
      <w:r w:rsidR="00A04DE1" w:rsidRPr="00441377">
        <w:rPr>
          <w:szCs w:val="21"/>
        </w:rPr>
        <w:t>pour accélérer la décarbonation des secteurs du bâtiment, des transports et du système énergétique</w:t>
      </w:r>
      <w:r>
        <w:t>.</w:t>
      </w:r>
    </w:p>
    <w:p w14:paraId="78BDAC51" w14:textId="77777777" w:rsidR="00D570CA" w:rsidRDefault="00D570CA" w:rsidP="00441377">
      <w:pPr>
        <w:pStyle w:val="TextecourantEdEn"/>
        <w:spacing w:after="0" w:line="240" w:lineRule="auto"/>
      </w:pPr>
    </w:p>
    <w:p w14:paraId="121EAE58" w14:textId="0731412D" w:rsidR="000522A2" w:rsidRDefault="000522A2" w:rsidP="00441377">
      <w:pPr>
        <w:pStyle w:val="TextecourantEd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«</w:t>
      </w:r>
      <w:r w:rsidRPr="001677E2">
        <w:rPr>
          <w:i/>
          <w:iCs/>
        </w:rPr>
        <w:t xml:space="preserve"> La France a toujours eu une position forte dans le domaine des énergies grâce à sa technologie. Elle ne doit pas manquer son rendez-vous avec la neutralité carbone. Il est primordial de trouver le bon équilibre afin de lancer la transition énergétique</w:t>
      </w:r>
      <w:r w:rsidR="008B5AB9">
        <w:rPr>
          <w:i/>
          <w:iCs/>
        </w:rPr>
        <w:t xml:space="preserve"> avec le soutien des Français.</w:t>
      </w:r>
    </w:p>
    <w:p w14:paraId="62B28F24" w14:textId="591EEAB3" w:rsidR="000522A2" w:rsidRDefault="000522A2" w:rsidP="00441377">
      <w:pPr>
        <w:pStyle w:val="TextecourantEd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2A7F92">
        <w:rPr>
          <w:b/>
          <w:bCs/>
        </w:rPr>
        <w:t>Brice Lalonde, ancien ministre de l’Environnement et président d’Équilibre des Énergies</w:t>
      </w:r>
    </w:p>
    <w:p w14:paraId="27547E88" w14:textId="77777777" w:rsidR="00D570CA" w:rsidRPr="00441377" w:rsidRDefault="00D570CA" w:rsidP="00441377">
      <w:pPr>
        <w:pStyle w:val="Titre2Eden"/>
        <w:spacing w:before="0" w:after="0" w:line="240" w:lineRule="auto"/>
        <w:rPr>
          <w:sz w:val="21"/>
          <w:szCs w:val="21"/>
        </w:rPr>
      </w:pPr>
    </w:p>
    <w:p w14:paraId="2B890C30" w14:textId="62746BB2" w:rsidR="002A7F92" w:rsidRDefault="002A7F92" w:rsidP="00441377">
      <w:pPr>
        <w:pStyle w:val="Titre2Eden"/>
        <w:spacing w:line="240" w:lineRule="auto"/>
      </w:pPr>
      <w:r>
        <w:t>Une politique énergie-climat animée par la culture du résultat</w:t>
      </w:r>
    </w:p>
    <w:p w14:paraId="1F9B13A1" w14:textId="7EAC8323" w:rsidR="003F59A9" w:rsidRDefault="002A7F92" w:rsidP="00441377">
      <w:pPr>
        <w:pStyle w:val="TextecourantEdEn"/>
        <w:spacing w:line="240" w:lineRule="auto"/>
      </w:pPr>
      <w:r>
        <w:t>La finalité</w:t>
      </w:r>
      <w:r w:rsidR="00CE6D5E">
        <w:t xml:space="preserve"> première</w:t>
      </w:r>
      <w:r>
        <w:t xml:space="preserve"> de la politique énergie-climat </w:t>
      </w:r>
      <w:r w:rsidR="004271B1">
        <w:t>doit être</w:t>
      </w:r>
      <w:r>
        <w:t xml:space="preserve"> l’atteinte de la neutralité carbone à l’horizon 2050.</w:t>
      </w:r>
    </w:p>
    <w:p w14:paraId="43A555F8" w14:textId="6127C37E" w:rsidR="002A7F92" w:rsidRDefault="00CB66D9" w:rsidP="00441377">
      <w:pPr>
        <w:pStyle w:val="TextecourantEdEn"/>
        <w:spacing w:line="240" w:lineRule="auto"/>
      </w:pPr>
      <w:r w:rsidRPr="00516C39">
        <w:t>Cet objectif doit être balisé par des jalons réalistes</w:t>
      </w:r>
      <w:r w:rsidR="00CE6D5E">
        <w:t xml:space="preserve"> avec</w:t>
      </w:r>
      <w:r w:rsidRPr="00516C39">
        <w:t xml:space="preserve"> </w:t>
      </w:r>
      <w:r w:rsidR="00CE6D5E">
        <w:t>l</w:t>
      </w:r>
      <w:r w:rsidRPr="00516C39">
        <w:t xml:space="preserve">a </w:t>
      </w:r>
      <w:r w:rsidR="002A7F92" w:rsidRPr="00516C39">
        <w:t xml:space="preserve">réduction des émissions de gaz à effet de serre comme </w:t>
      </w:r>
      <w:r w:rsidR="00CE6D5E">
        <w:t>fil conducteur</w:t>
      </w:r>
      <w:r w:rsidR="004271B1" w:rsidRPr="00516C39">
        <w:t xml:space="preserve">. </w:t>
      </w:r>
      <w:r w:rsidR="004271B1" w:rsidRPr="00516C39">
        <w:rPr>
          <w:b/>
          <w:bCs/>
        </w:rPr>
        <w:t>Elle doit</w:t>
      </w:r>
      <w:r w:rsidR="002A7F92" w:rsidRPr="00516C39">
        <w:rPr>
          <w:b/>
          <w:bCs/>
        </w:rPr>
        <w:t xml:space="preserve"> viser, sans négliger la recherche </w:t>
      </w:r>
      <w:r w:rsidR="004271B1" w:rsidRPr="00516C39">
        <w:rPr>
          <w:b/>
          <w:bCs/>
        </w:rPr>
        <w:t xml:space="preserve">de </w:t>
      </w:r>
      <w:r w:rsidR="002A7F92" w:rsidRPr="00516C39">
        <w:rPr>
          <w:b/>
          <w:bCs/>
        </w:rPr>
        <w:t xml:space="preserve">l’efficacité énergétique, </w:t>
      </w:r>
      <w:r w:rsidR="004271B1" w:rsidRPr="00516C39">
        <w:rPr>
          <w:b/>
          <w:bCs/>
        </w:rPr>
        <w:t xml:space="preserve">l’abandon </w:t>
      </w:r>
      <w:r w:rsidR="002A7F92" w:rsidRPr="00516C39">
        <w:rPr>
          <w:b/>
          <w:bCs/>
        </w:rPr>
        <w:t>des énergies fossiles</w:t>
      </w:r>
      <w:r w:rsidR="002A7F92">
        <w:t xml:space="preserve">, en s’appuyant </w:t>
      </w:r>
      <w:r w:rsidR="004271B1">
        <w:t xml:space="preserve">majoritairement </w:t>
      </w:r>
      <w:r w:rsidR="002A7F92">
        <w:t xml:space="preserve">sur l’électricité décarbonée, déjà produite de façon abondante, </w:t>
      </w:r>
      <w:r w:rsidR="004271B1">
        <w:t xml:space="preserve">sur la chaleur renouvelable </w:t>
      </w:r>
      <w:r w:rsidR="002A7F92">
        <w:t xml:space="preserve">et </w:t>
      </w:r>
      <w:r w:rsidR="004271B1">
        <w:t xml:space="preserve">sur </w:t>
      </w:r>
      <w:r w:rsidR="002A7F92">
        <w:t xml:space="preserve">l’hydrogène </w:t>
      </w:r>
      <w:r w:rsidR="004271B1">
        <w:t>bas-carbone là où il peut être compétitif.</w:t>
      </w:r>
    </w:p>
    <w:p w14:paraId="38DFDE57" w14:textId="310538C4" w:rsidR="002A7F92" w:rsidRDefault="002A7F92" w:rsidP="00441377">
      <w:pPr>
        <w:pStyle w:val="TextecourantEdEn"/>
        <w:spacing w:line="240" w:lineRule="auto"/>
      </w:pPr>
      <w:r>
        <w:t xml:space="preserve">Opérer cette rupture ne sera pas gratuit. </w:t>
      </w:r>
      <w:r w:rsidRPr="00AE3185">
        <w:rPr>
          <w:b/>
          <w:bCs/>
        </w:rPr>
        <w:t>Il convient de l’inscrire dans une écologie de la prospérité</w:t>
      </w:r>
      <w:r w:rsidR="004271B1" w:rsidRPr="00AE3185">
        <w:rPr>
          <w:b/>
          <w:bCs/>
        </w:rPr>
        <w:t>, respectueuse de l’environnement</w:t>
      </w:r>
      <w:r w:rsidR="00CE6D5E">
        <w:rPr>
          <w:b/>
          <w:bCs/>
        </w:rPr>
        <w:t xml:space="preserve">, </w:t>
      </w:r>
      <w:r w:rsidR="004271B1">
        <w:t xml:space="preserve">aux antipodes d’une écologie de la décroissance, afin d’assurer le bien-être des populations et disposer des ressources indispensables au financement de la transition.  </w:t>
      </w:r>
    </w:p>
    <w:p w14:paraId="7F6181E0" w14:textId="41E55DDD" w:rsidR="002A7F92" w:rsidRDefault="002A7F92" w:rsidP="00441377">
      <w:pPr>
        <w:pStyle w:val="TextecourantEdEn"/>
        <w:spacing w:line="240" w:lineRule="auto"/>
      </w:pPr>
      <w:r>
        <w:t xml:space="preserve">L’acceptabilité sociale de la transition implique également </w:t>
      </w:r>
      <w:r w:rsidRPr="00516C39">
        <w:rPr>
          <w:b/>
          <w:bCs/>
        </w:rPr>
        <w:t>d’assurer la souveraineté énergétique de la nation</w:t>
      </w:r>
      <w:r w:rsidR="004271B1">
        <w:t>,</w:t>
      </w:r>
      <w:r>
        <w:t xml:space="preserve"> afin d’être moins </w:t>
      </w:r>
      <w:r w:rsidR="004271B1">
        <w:t xml:space="preserve">dépendant </w:t>
      </w:r>
      <w:r>
        <w:t xml:space="preserve">du contexte géopolitique et des aléas météorologiques, et </w:t>
      </w:r>
      <w:r w:rsidR="004271B1" w:rsidRPr="00516C39">
        <w:rPr>
          <w:b/>
          <w:bCs/>
        </w:rPr>
        <w:t xml:space="preserve">d’associer </w:t>
      </w:r>
      <w:r w:rsidRPr="00516C39">
        <w:rPr>
          <w:b/>
          <w:bCs/>
        </w:rPr>
        <w:t xml:space="preserve">davantage les citoyens </w:t>
      </w:r>
      <w:r w:rsidR="004271B1" w:rsidRPr="00516C39">
        <w:rPr>
          <w:b/>
          <w:bCs/>
        </w:rPr>
        <w:t>aux</w:t>
      </w:r>
      <w:r w:rsidRPr="00516C39">
        <w:rPr>
          <w:b/>
          <w:bCs/>
        </w:rPr>
        <w:t xml:space="preserve"> choix qui nous engagent tous</w:t>
      </w:r>
      <w:r>
        <w:t>.</w:t>
      </w:r>
    </w:p>
    <w:p w14:paraId="3011338E" w14:textId="77777777" w:rsidR="00D570CA" w:rsidRPr="001677E2" w:rsidRDefault="00D570CA" w:rsidP="00D570CA">
      <w:pPr>
        <w:pStyle w:val="Titre2Eden"/>
        <w:spacing w:before="0" w:after="0" w:line="240" w:lineRule="auto"/>
        <w:rPr>
          <w:sz w:val="21"/>
          <w:szCs w:val="21"/>
        </w:rPr>
      </w:pPr>
    </w:p>
    <w:p w14:paraId="2028DA80" w14:textId="77777777" w:rsidR="002A7F92" w:rsidRDefault="002A7F92" w:rsidP="00441377">
      <w:pPr>
        <w:pStyle w:val="Titre2Eden"/>
        <w:spacing w:line="240" w:lineRule="auto"/>
      </w:pPr>
      <w:r>
        <w:t>Treize actions pour accélérer la décarbonation</w:t>
      </w:r>
    </w:p>
    <w:p w14:paraId="5A533637" w14:textId="70A45DE6" w:rsidR="002A7F92" w:rsidRDefault="002A7F92" w:rsidP="00441377">
      <w:pPr>
        <w:pStyle w:val="TextecourantEdEn"/>
        <w:spacing w:line="240" w:lineRule="auto"/>
      </w:pPr>
      <w:r>
        <w:t xml:space="preserve">Les secteurs du Bâtiment et de la Mobilité sont les deux principaux secteurs émetteurs de gaz à effet de serre et </w:t>
      </w:r>
      <w:r w:rsidR="008B5AB9">
        <w:t>consommateurs d’énergie</w:t>
      </w:r>
      <w:r>
        <w:t xml:space="preserve">, </w:t>
      </w:r>
      <w:r w:rsidR="000522A2">
        <w:t>C</w:t>
      </w:r>
      <w:r>
        <w:t>’est pourquoi Équilibre des Énergies</w:t>
      </w:r>
      <w:r w:rsidR="004271B1">
        <w:t xml:space="preserve"> </w:t>
      </w:r>
      <w:r>
        <w:t>propose treize leviers sur lesquels les candidats à l’élection présidentielle pourront s’appuyer.</w:t>
      </w:r>
    </w:p>
    <w:p w14:paraId="2F3145F3" w14:textId="6F83BA44" w:rsidR="002A7F92" w:rsidRDefault="002A7F92" w:rsidP="000522A2">
      <w:pPr>
        <w:pStyle w:val="TextecourantEdEn"/>
        <w:spacing w:after="0" w:line="240" w:lineRule="auto"/>
      </w:pPr>
      <w:r>
        <w:t xml:space="preserve">Ces actions partent d’une analyse de la façon dont les besoins en énergie pourront être satisfaits par des solutions décarbonées et efficaces et des conditions à réunir pour organiser cette </w:t>
      </w:r>
      <w:r w:rsidR="008B5AB9">
        <w:t>transition</w:t>
      </w:r>
      <w:r>
        <w:t>, notamment au niveau du système énergétique.</w:t>
      </w:r>
    </w:p>
    <w:p w14:paraId="3D11D6E8" w14:textId="77777777" w:rsidR="000522A2" w:rsidRDefault="000522A2" w:rsidP="00441377">
      <w:pPr>
        <w:pStyle w:val="TextecourantEdEn"/>
        <w:spacing w:after="0" w:line="240" w:lineRule="auto"/>
      </w:pPr>
    </w:p>
    <w:tbl>
      <w:tblPr>
        <w:tblStyle w:val="Grilledutableau"/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9056"/>
      </w:tblGrid>
      <w:tr w:rsidR="009A68CD" w:rsidRPr="009A68CD" w14:paraId="693FA5AF" w14:textId="77777777" w:rsidTr="00AE3185">
        <w:trPr>
          <w:trHeight w:val="510"/>
        </w:trPr>
        <w:tc>
          <w:tcPr>
            <w:tcW w:w="9056" w:type="dxa"/>
            <w:shd w:val="clear" w:color="auto" w:fill="ED7D31" w:themeFill="accent2"/>
            <w:vAlign w:val="center"/>
          </w:tcPr>
          <w:p w14:paraId="7ECF1403" w14:textId="6EFDCAC6" w:rsidR="009A68CD" w:rsidRPr="00AE3185" w:rsidRDefault="009A68CD" w:rsidP="00441377">
            <w:pPr>
              <w:pStyle w:val="TextecourantEdEn"/>
              <w:spacing w:line="240" w:lineRule="auto"/>
              <w:jc w:val="center"/>
              <w:rPr>
                <w:b/>
                <w:bCs/>
                <w:color w:val="FFFFFF" w:themeColor="background1"/>
                <w:szCs w:val="21"/>
              </w:rPr>
            </w:pPr>
            <w:r w:rsidRPr="00AE3185">
              <w:rPr>
                <w:b/>
                <w:bCs/>
                <w:color w:val="FFFFFF" w:themeColor="background1"/>
                <w:szCs w:val="21"/>
              </w:rPr>
              <w:t xml:space="preserve">Consulter : </w:t>
            </w:r>
            <w:hyperlink r:id="rId8" w:history="1">
              <w:r w:rsidR="00056759" w:rsidRPr="00AE3185">
                <w:rPr>
                  <w:rStyle w:val="Lienhypertexte"/>
                  <w:b/>
                  <w:bCs/>
                  <w:color w:val="FFFFFF" w:themeColor="background1"/>
                  <w:szCs w:val="21"/>
                </w:rPr>
                <w:t>« Élection présidentielle : l’énergie doit être au cœur du débat » - propositions d’Équilibre des Énergies</w:t>
              </w:r>
            </w:hyperlink>
          </w:p>
        </w:tc>
      </w:tr>
    </w:tbl>
    <w:p w14:paraId="69D8C40F" w14:textId="77777777" w:rsidR="00D570CA" w:rsidRDefault="00D570CA" w:rsidP="000522A2">
      <w:pPr>
        <w:pStyle w:val="TextecourantEdEn"/>
        <w:spacing w:line="240" w:lineRule="auto"/>
        <w:rPr>
          <w:b/>
          <w:bCs/>
        </w:rPr>
      </w:pPr>
    </w:p>
    <w:p w14:paraId="67EA0D4F" w14:textId="42B0F29B" w:rsidR="002A7F92" w:rsidRDefault="002A7F92" w:rsidP="00441377">
      <w:pPr>
        <w:pStyle w:val="TextecourantEdEn"/>
        <w:spacing w:line="240" w:lineRule="auto"/>
      </w:pPr>
      <w:r>
        <w:rPr>
          <w:b/>
          <w:bCs/>
        </w:rPr>
        <w:lastRenderedPageBreak/>
        <w:t>A propos d’Équilibre des Énergies</w:t>
      </w:r>
      <w:r>
        <w:t xml:space="preserve"> : </w:t>
      </w:r>
      <w:r w:rsidRPr="002A7F92">
        <w:t>Créée</w:t>
      </w:r>
      <w:r>
        <w:t xml:space="preserve"> en 2011, </w:t>
      </w:r>
      <w:r w:rsidR="008B5AB9">
        <w:t>le groupe de réflexion</w:t>
      </w:r>
      <w:r>
        <w:t xml:space="preserve"> Équilibre des Énergies est une plateforme transversale qui fédère les acteurs du monde de l’Énergie, du Bâtiment et de la Mobilité́ autour d’un projet commun : Construire une société́ énergétique meilleure, nécessaire à la décarbonation efficace de l’économie.</w:t>
      </w:r>
    </w:p>
    <w:p w14:paraId="190D717C" w14:textId="77777777" w:rsidR="002A7F92" w:rsidRDefault="002A7F92" w:rsidP="000522A2">
      <w:pPr>
        <w:pStyle w:val="NormalWeb"/>
        <w:spacing w:before="0" w:beforeAutospacing="0" w:after="120" w:afterAutospacing="0"/>
        <w:jc w:val="both"/>
      </w:pPr>
      <w:r>
        <w:rPr>
          <w:rFonts w:ascii="Arial" w:hAnsi="Arial"/>
          <w:color w:val="000000"/>
          <w:sz w:val="21"/>
          <w:szCs w:val="21"/>
        </w:rPr>
        <w:t>Plus d’informations sur :</w:t>
      </w:r>
      <w:hyperlink r:id="rId9" w:history="1">
        <w:r>
          <w:rPr>
            <w:rStyle w:val="Lienhypertexte"/>
            <w:rFonts w:ascii="Arial" w:hAnsi="Arial"/>
            <w:color w:val="000000"/>
            <w:sz w:val="21"/>
            <w:szCs w:val="21"/>
          </w:rPr>
          <w:t xml:space="preserve"> </w:t>
        </w:r>
        <w:r>
          <w:rPr>
            <w:rStyle w:val="Lienhypertexte"/>
            <w:rFonts w:ascii="Arial" w:hAnsi="Arial"/>
            <w:color w:val="0563C1"/>
            <w:sz w:val="21"/>
            <w:szCs w:val="21"/>
          </w:rPr>
          <w:t>https://www.equilibredesenergies.org</w:t>
        </w:r>
      </w:hyperlink>
    </w:p>
    <w:p w14:paraId="33C75719" w14:textId="77777777" w:rsidR="002A7F92" w:rsidRDefault="002A7F92" w:rsidP="000522A2">
      <w:pPr>
        <w:pStyle w:val="NormalWeb"/>
        <w:spacing w:before="0" w:beforeAutospacing="0" w:after="120" w:afterAutospacing="0"/>
        <w:jc w:val="both"/>
      </w:pPr>
      <w:r>
        <w:rPr>
          <w:rFonts w:ascii="Arial" w:hAnsi="Arial"/>
          <w:color w:val="000000"/>
          <w:sz w:val="21"/>
          <w:szCs w:val="21"/>
        </w:rPr>
        <w:t> </w:t>
      </w:r>
    </w:p>
    <w:p w14:paraId="016524A4" w14:textId="77777777" w:rsidR="002A7F92" w:rsidRPr="002A7F92" w:rsidRDefault="002A7F92" w:rsidP="00441377">
      <w:pPr>
        <w:pStyle w:val="TextecourantEdEn"/>
        <w:spacing w:line="240" w:lineRule="auto"/>
        <w:rPr>
          <w:b/>
          <w:bCs/>
        </w:rPr>
      </w:pPr>
      <w:r w:rsidRPr="002A7F92">
        <w:rPr>
          <w:b/>
          <w:bCs/>
        </w:rPr>
        <w:t>Contact presse :</w:t>
      </w:r>
    </w:p>
    <w:p w14:paraId="16EEC2B8" w14:textId="3A5B1F4E" w:rsidR="00D570CA" w:rsidRDefault="002A7F92" w:rsidP="00D570CA">
      <w:pPr>
        <w:pStyle w:val="TextecourantEdEn"/>
      </w:pPr>
      <w:r>
        <w:t xml:space="preserve">Isabelle LAVILLE – </w:t>
      </w:r>
      <w:proofErr w:type="gramStart"/>
      <w:r>
        <w:t>email</w:t>
      </w:r>
      <w:proofErr w:type="gramEnd"/>
      <w:r>
        <w:t xml:space="preserve"> : ilaville@replique-com.com – Tél. : 01 40 86 31 53 - 06 25 47 18 03</w:t>
      </w:r>
    </w:p>
    <w:p w14:paraId="587B7513" w14:textId="31364B18" w:rsidR="00D570CA" w:rsidRDefault="00D570CA">
      <w:pPr>
        <w:rPr>
          <w:sz w:val="21"/>
        </w:rPr>
      </w:pPr>
      <w:r>
        <w:br w:type="page"/>
      </w:r>
    </w:p>
    <w:p w14:paraId="443D18F1" w14:textId="504404E1" w:rsidR="00D570CA" w:rsidRPr="00441377" w:rsidRDefault="00516C39" w:rsidP="00441377">
      <w:pPr>
        <w:pStyle w:val="TextecourantEdEn"/>
        <w:jc w:val="center"/>
        <w:rPr>
          <w:b/>
          <w:bCs/>
          <w:sz w:val="28"/>
          <w:szCs w:val="28"/>
        </w:rPr>
      </w:pPr>
      <w:r w:rsidRPr="00441377">
        <w:rPr>
          <w:b/>
          <w:bCs/>
          <w:sz w:val="28"/>
          <w:szCs w:val="28"/>
        </w:rPr>
        <w:lastRenderedPageBreak/>
        <w:t>Annexe</w:t>
      </w:r>
    </w:p>
    <w:p w14:paraId="0E2F916B" w14:textId="5C7C1AB5" w:rsidR="00516C39" w:rsidRPr="00441377" w:rsidRDefault="00D570CA" w:rsidP="00441377">
      <w:pPr>
        <w:pStyle w:val="TextecourantEdEn"/>
        <w:rPr>
          <w:bCs/>
          <w:color w:val="FF4C00"/>
          <w:sz w:val="28"/>
          <w:szCs w:val="28"/>
        </w:rPr>
      </w:pPr>
      <w:r>
        <w:rPr>
          <w:b/>
          <w:bCs/>
          <w:color w:val="FF4C00"/>
          <w:sz w:val="28"/>
          <w:szCs w:val="28"/>
        </w:rPr>
        <w:t>R</w:t>
      </w:r>
      <w:r w:rsidR="00516C39" w:rsidRPr="00441377">
        <w:rPr>
          <w:b/>
          <w:bCs/>
          <w:color w:val="FF4C00"/>
          <w:sz w:val="28"/>
          <w:szCs w:val="28"/>
        </w:rPr>
        <w:t>ésumé des treize actions préconisées par Équilibre des Énergies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236"/>
      </w:tblGrid>
      <w:tr w:rsidR="00516C39" w14:paraId="1E048F3E" w14:textId="77777777" w:rsidTr="00173F55">
        <w:trPr>
          <w:trHeight w:val="1295"/>
        </w:trPr>
        <w:tc>
          <w:tcPr>
            <w:tcW w:w="4810" w:type="dxa"/>
            <w:tcBorders>
              <w:top w:val="single" w:sz="8" w:space="0" w:color="A25DD2"/>
              <w:left w:val="single" w:sz="8" w:space="0" w:color="A25DD2"/>
              <w:bottom w:val="single" w:sz="12" w:space="0" w:color="A25DD2"/>
              <w:right w:val="single" w:sz="8" w:space="0" w:color="A25DD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AA75C" w14:textId="6C5666AC" w:rsidR="00516C39" w:rsidRDefault="00516C39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1 -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Accélérer la rénovation du parc de logements</w:t>
            </w:r>
            <w:r w:rsidR="0053520F"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 xml:space="preserve"> et son adaptation à la mobilité électrique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en mettant en place, de façon pérenne, un Fonds national pour l’efficacité énergétique et la neutralité carbone, regroupant différents moyens de financement et dont la gestion sera largement déconcentrée.</w:t>
            </w:r>
          </w:p>
        </w:tc>
        <w:tc>
          <w:tcPr>
            <w:tcW w:w="4236" w:type="dxa"/>
            <w:tcBorders>
              <w:top w:val="single" w:sz="8" w:space="0" w:color="A25DD2"/>
              <w:left w:val="single" w:sz="8" w:space="0" w:color="A25DD2"/>
              <w:bottom w:val="single" w:sz="12" w:space="0" w:color="A25DD2"/>
              <w:right w:val="single" w:sz="8" w:space="0" w:color="A25DD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33D53" w14:textId="65F9E114" w:rsidR="00516C39" w:rsidRDefault="00516C39" w:rsidP="00173F55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2 -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Soutenir l’extension au secteur des bâtiments à usage tertiaire du système européen des quotas-carbone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(EU-ETS) afin d’accroître les moyens financiers de la rénovation énergétique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>.</w:t>
            </w:r>
          </w:p>
        </w:tc>
      </w:tr>
      <w:tr w:rsidR="00516C39" w14:paraId="70D60700" w14:textId="77777777" w:rsidTr="00173F55">
        <w:trPr>
          <w:trHeight w:val="830"/>
        </w:trPr>
        <w:tc>
          <w:tcPr>
            <w:tcW w:w="4810" w:type="dxa"/>
            <w:tcBorders>
              <w:top w:val="single" w:sz="12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shd w:val="clear" w:color="auto" w:fill="E0C9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7FB31" w14:textId="4EA2C326" w:rsidR="00516C39" w:rsidRDefault="00516C39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3 –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Renforcer les mesures d’incitation à la migration vers les solutions bas-</w:t>
            </w:r>
            <w:r w:rsidR="00056759"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carbone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>, notamment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>en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renfor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>çant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l’exigence climatique du DPE et 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>interdisant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</w:t>
            </w:r>
            <w:r w:rsidR="0053520F">
              <w:rPr>
                <w:rFonts w:ascii="Arial" w:hAnsi="Arial"/>
                <w:color w:val="441B62"/>
                <w:sz w:val="21"/>
                <w:szCs w:val="21"/>
              </w:rPr>
              <w:t>comme le propose la Commission européenne</w:t>
            </w:r>
            <w:r w:rsidR="008E41D2">
              <w:rPr>
                <w:rFonts w:ascii="Arial" w:hAnsi="Arial"/>
                <w:color w:val="441B62"/>
                <w:sz w:val="21"/>
                <w:szCs w:val="21"/>
              </w:rPr>
              <w:t xml:space="preserve"> pour</w:t>
            </w:r>
            <w:r w:rsidR="0053520F">
              <w:rPr>
                <w:rFonts w:ascii="Arial" w:hAnsi="Arial"/>
                <w:color w:val="441B62"/>
                <w:sz w:val="21"/>
                <w:szCs w:val="21"/>
              </w:rPr>
              <w:t xml:space="preserve"> les chaudières à combustible fossile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>.</w:t>
            </w:r>
          </w:p>
        </w:tc>
        <w:tc>
          <w:tcPr>
            <w:tcW w:w="4236" w:type="dxa"/>
            <w:tcBorders>
              <w:top w:val="single" w:sz="12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shd w:val="clear" w:color="auto" w:fill="E0C9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C4D15" w14:textId="5AA85CE8" w:rsidR="00516C39" w:rsidRPr="008E41D2" w:rsidRDefault="00516C39" w:rsidP="008E41D2">
            <w:pPr>
              <w:pStyle w:val="NormalWeb"/>
              <w:spacing w:after="120"/>
              <w:jc w:val="both"/>
              <w:rPr>
                <w:rFonts w:ascii="Arial" w:hAnsi="Arial"/>
                <w:color w:val="441B62"/>
                <w:sz w:val="21"/>
                <w:szCs w:val="21"/>
              </w:rPr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4 –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Réajuster de façon durable la fiscalité énergétique au profit des formes d’énergie bas-carbone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 xml:space="preserve">, notamment en pérennisant la réduction de la </w:t>
            </w:r>
            <w:r w:rsidR="00056759" w:rsidRPr="00056759">
              <w:rPr>
                <w:rFonts w:ascii="Arial" w:hAnsi="Arial"/>
                <w:color w:val="441B62"/>
                <w:sz w:val="21"/>
                <w:szCs w:val="21"/>
              </w:rPr>
              <w:t>taxe int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>é</w:t>
            </w:r>
            <w:r w:rsidR="00056759" w:rsidRPr="00056759">
              <w:rPr>
                <w:rFonts w:ascii="Arial" w:hAnsi="Arial"/>
                <w:color w:val="441B62"/>
                <w:sz w:val="21"/>
                <w:szCs w:val="21"/>
              </w:rPr>
              <w:t>rieure sur la consommation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 xml:space="preserve"> </w:t>
            </w:r>
            <w:r w:rsidR="00056759" w:rsidRPr="00056759">
              <w:rPr>
                <w:rFonts w:ascii="Arial" w:hAnsi="Arial"/>
                <w:color w:val="441B62"/>
                <w:sz w:val="21"/>
                <w:szCs w:val="21"/>
              </w:rPr>
              <w:t>finale d’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>é</w:t>
            </w:r>
            <w:r w:rsidR="008E41D2">
              <w:rPr>
                <w:rFonts w:ascii="Arial" w:hAnsi="Arial"/>
                <w:color w:val="441B62"/>
                <w:sz w:val="21"/>
                <w:szCs w:val="21"/>
              </w:rPr>
              <w:t>lectricité</w:t>
            </w:r>
            <w:r w:rsidR="00056759" w:rsidRPr="00056759">
              <w:rPr>
                <w:rFonts w:ascii="Arial" w:hAnsi="Arial"/>
                <w:color w:val="441B62"/>
                <w:sz w:val="21"/>
                <w:szCs w:val="21"/>
              </w:rPr>
              <w:t xml:space="preserve"> (TICFE)</w:t>
            </w:r>
            <w:r w:rsidR="00056759">
              <w:rPr>
                <w:rFonts w:ascii="Arial" w:hAnsi="Arial"/>
                <w:color w:val="441B62"/>
                <w:sz w:val="21"/>
                <w:szCs w:val="21"/>
              </w:rPr>
              <w:t>.</w:t>
            </w:r>
          </w:p>
        </w:tc>
      </w:tr>
      <w:tr w:rsidR="00516C39" w14:paraId="1F359D48" w14:textId="77777777" w:rsidTr="00173F55">
        <w:trPr>
          <w:trHeight w:val="815"/>
        </w:trPr>
        <w:tc>
          <w:tcPr>
            <w:tcW w:w="4810" w:type="dxa"/>
            <w:tcBorders>
              <w:top w:val="single" w:sz="8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78C2D" w14:textId="476BF70D" w:rsidR="00516C39" w:rsidRDefault="00516C39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5 –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Consolider la migration des mobilités légères vers les solutions électriques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en agissant </w:t>
            </w:r>
            <w:r w:rsidR="00F671C6">
              <w:rPr>
                <w:rFonts w:ascii="Arial" w:hAnsi="Arial"/>
                <w:color w:val="441B62"/>
                <w:sz w:val="21"/>
                <w:szCs w:val="21"/>
              </w:rPr>
              <w:t xml:space="preserve">conjointement 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sur les infrastructures de recharge, notamment avec la mise en place d’un plan stratégique </w:t>
            </w:r>
            <w:r w:rsidR="0053520F">
              <w:rPr>
                <w:rFonts w:ascii="Arial" w:hAnsi="Arial"/>
                <w:color w:val="441B62"/>
                <w:sz w:val="21"/>
                <w:szCs w:val="21"/>
              </w:rPr>
              <w:t>d’équipement des autoroutes et voies rapides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>, et</w:t>
            </w:r>
            <w:r w:rsidR="00F671C6">
              <w:rPr>
                <w:rFonts w:ascii="Arial" w:hAnsi="Arial"/>
                <w:color w:val="441B62"/>
                <w:sz w:val="21"/>
                <w:szCs w:val="21"/>
              </w:rPr>
              <w:t xml:space="preserve"> le soutien à l’acquisition des véhicules.</w:t>
            </w:r>
          </w:p>
        </w:tc>
        <w:tc>
          <w:tcPr>
            <w:tcW w:w="4236" w:type="dxa"/>
            <w:tcBorders>
              <w:top w:val="single" w:sz="8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979E2" w14:textId="5563E576" w:rsidR="00516C39" w:rsidRDefault="00516C39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6 –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Placer la France à l’avant-garde des innovations liées aux véhicules légers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en soutenant la R&amp;D et facilitant l’implantation d’usines de batteries</w:t>
            </w:r>
            <w:r w:rsidR="00F671C6">
              <w:rPr>
                <w:rFonts w:ascii="Arial" w:hAnsi="Arial"/>
                <w:color w:val="441B62"/>
                <w:sz w:val="21"/>
                <w:szCs w:val="21"/>
              </w:rPr>
              <w:t xml:space="preserve">, ainsi qu’en encourageant les initiatives liées au véhicules </w:t>
            </w:r>
            <w:r w:rsidR="0053520F">
              <w:rPr>
                <w:rFonts w:ascii="Arial" w:hAnsi="Arial"/>
                <w:color w:val="441B62"/>
                <w:sz w:val="21"/>
                <w:szCs w:val="21"/>
              </w:rPr>
              <w:t>de plus en plus autonomes.</w:t>
            </w:r>
          </w:p>
        </w:tc>
      </w:tr>
      <w:tr w:rsidR="00516C39" w14:paraId="06AB69EF" w14:textId="77777777" w:rsidTr="00173F55">
        <w:trPr>
          <w:trHeight w:val="815"/>
        </w:trPr>
        <w:tc>
          <w:tcPr>
            <w:tcW w:w="4810" w:type="dxa"/>
            <w:tcBorders>
              <w:top w:val="single" w:sz="8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shd w:val="clear" w:color="auto" w:fill="E0C9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FA640" w14:textId="7DB0638E" w:rsidR="00516C39" w:rsidRDefault="00516C39" w:rsidP="00173F55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7 –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Organiser la migration vers des solutions bas-carbone du transport de marchandises</w:t>
            </w:r>
            <w:r w:rsidR="00F671C6">
              <w:rPr>
                <w:rFonts w:ascii="Arial" w:hAnsi="Arial"/>
                <w:color w:val="441B62"/>
                <w:sz w:val="21"/>
                <w:szCs w:val="21"/>
              </w:rPr>
              <w:t xml:space="preserve"> avec la mise en place d’un plan d’action adapté au potentiel de chaque segment (</w:t>
            </w:r>
            <w:r w:rsidR="00C70678">
              <w:rPr>
                <w:rFonts w:ascii="Arial" w:hAnsi="Arial"/>
                <w:color w:val="441B62"/>
                <w:sz w:val="21"/>
                <w:szCs w:val="21"/>
              </w:rPr>
              <w:t>batteries, hydrogène, BioGNV).</w:t>
            </w:r>
          </w:p>
        </w:tc>
        <w:tc>
          <w:tcPr>
            <w:tcW w:w="4236" w:type="dxa"/>
            <w:tcBorders>
              <w:top w:val="single" w:sz="8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shd w:val="clear" w:color="auto" w:fill="E0C9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9CFF3" w14:textId="7F5E8B82" w:rsidR="00516C39" w:rsidRDefault="00516C39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8 –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Promouvoir la relance du transport aérien sur la base de solutions bas-carbone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>, notamment en réservant prioritairement à l’aérien</w:t>
            </w:r>
            <w:r w:rsidR="0053520F">
              <w:rPr>
                <w:rFonts w:ascii="Arial" w:hAnsi="Arial"/>
                <w:color w:val="441B62"/>
                <w:sz w:val="21"/>
                <w:szCs w:val="21"/>
              </w:rPr>
              <w:t>,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</w:t>
            </w:r>
            <w:r w:rsidR="0053520F">
              <w:rPr>
                <w:rFonts w:ascii="Arial" w:hAnsi="Arial"/>
                <w:color w:val="441B62"/>
                <w:sz w:val="21"/>
                <w:szCs w:val="21"/>
              </w:rPr>
              <w:t>sous forme de SAF, les ressources en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biocarburants</w:t>
            </w:r>
            <w:r w:rsidR="00074CEC">
              <w:rPr>
                <w:rFonts w:ascii="Arial" w:hAnsi="Arial"/>
                <w:color w:val="441B62"/>
                <w:sz w:val="21"/>
                <w:szCs w:val="21"/>
              </w:rPr>
              <w:t>.</w:t>
            </w:r>
          </w:p>
        </w:tc>
      </w:tr>
      <w:tr w:rsidR="00516C39" w14:paraId="3DD8DB93" w14:textId="77777777" w:rsidTr="00173F55">
        <w:trPr>
          <w:trHeight w:val="1055"/>
        </w:trPr>
        <w:tc>
          <w:tcPr>
            <w:tcW w:w="4810" w:type="dxa"/>
            <w:tcBorders>
              <w:top w:val="single" w:sz="8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BA254" w14:textId="43A25061" w:rsidR="00516C39" w:rsidRDefault="00516C39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9 –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Opter rapidement pour un mix électrique équilibré entre nucléaire et énergies renouvelables</w:t>
            </w:r>
            <w:r w:rsidR="0053520F">
              <w:rPr>
                <w:rFonts w:ascii="Arial" w:hAnsi="Arial"/>
                <w:color w:val="441B62"/>
                <w:sz w:val="21"/>
                <w:szCs w:val="21"/>
              </w:rPr>
              <w:t xml:space="preserve"> de façon à faire face à la croissance prévisible des besoins, à assurer la robustesse du réseau et à préserver l’indépendance de notre approvisionnement électrique.</w:t>
            </w:r>
          </w:p>
        </w:tc>
        <w:tc>
          <w:tcPr>
            <w:tcW w:w="4236" w:type="dxa"/>
            <w:tcBorders>
              <w:top w:val="single" w:sz="8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F6CAC" w14:textId="1AFD129D" w:rsidR="00516C39" w:rsidRDefault="00516C39" w:rsidP="00173F55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10 –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Développer, avec notamment l’aide du numérique, les flexibilités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qui permettront de préserver la robustesse du système électrique</w:t>
            </w:r>
            <w:r w:rsidR="00074CEC">
              <w:rPr>
                <w:rFonts w:ascii="Arial" w:hAnsi="Arial"/>
                <w:color w:val="441B62"/>
                <w:sz w:val="21"/>
                <w:szCs w:val="21"/>
              </w:rPr>
              <w:t>.</w:t>
            </w:r>
          </w:p>
        </w:tc>
      </w:tr>
      <w:tr w:rsidR="00516C39" w14:paraId="52F83F31" w14:textId="77777777" w:rsidTr="008E41D2">
        <w:trPr>
          <w:trHeight w:val="1055"/>
        </w:trPr>
        <w:tc>
          <w:tcPr>
            <w:tcW w:w="4810" w:type="dxa"/>
            <w:tcBorders>
              <w:top w:val="single" w:sz="8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shd w:val="clear" w:color="auto" w:fill="E0C9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C6F1E" w14:textId="182F6CF9" w:rsidR="00516C39" w:rsidRPr="008E41D2" w:rsidRDefault="00516C39">
            <w:pPr>
              <w:pStyle w:val="NormalWeb"/>
              <w:spacing w:before="0" w:beforeAutospacing="0" w:after="120" w:afterAutospacing="0"/>
              <w:jc w:val="both"/>
              <w:rPr>
                <w:strike/>
              </w:rPr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11 –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Revisiter le plan hydrogène en intégrant l’ensemble de la chaîne de valeurs,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</w:t>
            </w:r>
            <w:r w:rsidR="0053520F">
              <w:rPr>
                <w:rFonts w:ascii="Arial" w:hAnsi="Arial"/>
                <w:color w:val="441B62"/>
                <w:sz w:val="21"/>
                <w:szCs w:val="21"/>
              </w:rPr>
              <w:t>de la production jusqu’à l’utilisation, en fléchant les soutiens publics en direction des usages où l’hydrogène peut être compétitif.</w:t>
            </w:r>
          </w:p>
        </w:tc>
        <w:tc>
          <w:tcPr>
            <w:tcW w:w="4236" w:type="dxa"/>
            <w:tcBorders>
              <w:top w:val="single" w:sz="8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shd w:val="clear" w:color="auto" w:fill="E0C9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AE23" w14:textId="65FFE518" w:rsidR="00516C39" w:rsidRDefault="00516C39" w:rsidP="00173F55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12 – 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Définir les bases d’une politique décentralisée de l’énergie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en précisant la responsabilité des régions et des territoires dans la transition énergétique</w:t>
            </w:r>
            <w:r w:rsidR="00074CEC">
              <w:rPr>
                <w:rFonts w:ascii="Arial" w:hAnsi="Arial"/>
                <w:color w:val="441B62"/>
                <w:sz w:val="21"/>
                <w:szCs w:val="21"/>
              </w:rPr>
              <w:t>.</w:t>
            </w:r>
          </w:p>
        </w:tc>
      </w:tr>
      <w:tr w:rsidR="00516C39" w14:paraId="35537ACF" w14:textId="77777777" w:rsidTr="008E41D2">
        <w:trPr>
          <w:trHeight w:val="815"/>
        </w:trPr>
        <w:tc>
          <w:tcPr>
            <w:tcW w:w="4810" w:type="dxa"/>
            <w:tcBorders>
              <w:top w:val="single" w:sz="8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29C6" w14:textId="20196BF8" w:rsidR="00516C39" w:rsidRDefault="00516C39" w:rsidP="00173F55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13 – </w:t>
            </w:r>
            <w:r w:rsidR="00807033"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Mettre en œuvre</w:t>
            </w:r>
            <w:r w:rsidR="00807033">
              <w:rPr>
                <w:rFonts w:ascii="Arial" w:hAnsi="Arial"/>
                <w:color w:val="441B62"/>
                <w:sz w:val="21"/>
                <w:szCs w:val="21"/>
              </w:rPr>
              <w:t xml:space="preserve"> </w:t>
            </w:r>
            <w:r w:rsidR="00807033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u</w:t>
            </w:r>
            <w:r w:rsidRPr="00441377">
              <w:rPr>
                <w:rFonts w:ascii="Arial" w:hAnsi="Arial"/>
                <w:b/>
                <w:bCs/>
                <w:color w:val="441B62"/>
                <w:sz w:val="21"/>
                <w:szCs w:val="21"/>
              </w:rPr>
              <w:t>ne politique publique de recherche-développement centrée sur la décarbonation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>, notamment sur les techniques de transport, de distribution, de flexibilité</w:t>
            </w:r>
            <w:r w:rsidR="0053520F">
              <w:rPr>
                <w:rFonts w:ascii="Arial" w:hAnsi="Arial"/>
                <w:color w:val="441B62"/>
                <w:sz w:val="21"/>
                <w:szCs w:val="21"/>
              </w:rPr>
              <w:t>,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de stockage</w:t>
            </w:r>
            <w:r w:rsidR="0053520F">
              <w:rPr>
                <w:rFonts w:ascii="Arial" w:hAnsi="Arial"/>
                <w:color w:val="441B62"/>
                <w:sz w:val="21"/>
                <w:szCs w:val="21"/>
              </w:rPr>
              <w:t xml:space="preserve"> et d’utilisation</w:t>
            </w:r>
            <w:r>
              <w:rPr>
                <w:rFonts w:ascii="Arial" w:hAnsi="Arial"/>
                <w:color w:val="441B62"/>
                <w:sz w:val="21"/>
                <w:szCs w:val="21"/>
              </w:rPr>
              <w:t xml:space="preserve"> de l’électricité.</w:t>
            </w:r>
          </w:p>
        </w:tc>
        <w:tc>
          <w:tcPr>
            <w:tcW w:w="4236" w:type="dxa"/>
            <w:tcBorders>
              <w:top w:val="single" w:sz="8" w:space="0" w:color="A25DD2"/>
              <w:left w:val="single" w:sz="8" w:space="0" w:color="A25DD2"/>
              <w:bottom w:val="single" w:sz="8" w:space="0" w:color="A25DD2"/>
              <w:right w:val="single" w:sz="8" w:space="0" w:color="A25DD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44C7" w14:textId="710089E5" w:rsidR="00516C39" w:rsidRDefault="00516C39" w:rsidP="00173F55">
            <w:pPr>
              <w:pStyle w:val="NormalWeb"/>
              <w:spacing w:before="0" w:beforeAutospacing="0" w:after="120" w:afterAutospacing="0"/>
              <w:jc w:val="both"/>
            </w:pPr>
          </w:p>
        </w:tc>
      </w:tr>
    </w:tbl>
    <w:p w14:paraId="457ACFDC" w14:textId="77777777" w:rsidR="00516C39" w:rsidRPr="002A7F92" w:rsidRDefault="00516C39" w:rsidP="002A7F92">
      <w:pPr>
        <w:pStyle w:val="TextecourantEdEn"/>
      </w:pPr>
    </w:p>
    <w:sectPr w:rsidR="00516C39" w:rsidRPr="002A7F92" w:rsidSect="00AE318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7" w:right="1417" w:bottom="1417" w:left="1417" w:header="136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E76E" w14:textId="77777777" w:rsidR="002742DD" w:rsidRDefault="002742DD" w:rsidP="00234626">
      <w:r>
        <w:separator/>
      </w:r>
    </w:p>
    <w:p w14:paraId="5CB967D6" w14:textId="77777777" w:rsidR="002742DD" w:rsidRDefault="002742DD"/>
    <w:p w14:paraId="4FD166C4" w14:textId="77777777" w:rsidR="002742DD" w:rsidRDefault="002742DD"/>
  </w:endnote>
  <w:endnote w:type="continuationSeparator" w:id="0">
    <w:p w14:paraId="1BB1E13F" w14:textId="77777777" w:rsidR="002742DD" w:rsidRDefault="002742DD" w:rsidP="00234626">
      <w:r>
        <w:continuationSeparator/>
      </w:r>
    </w:p>
    <w:p w14:paraId="121B0050" w14:textId="77777777" w:rsidR="002742DD" w:rsidRDefault="002742DD"/>
    <w:p w14:paraId="30E7A90C" w14:textId="77777777" w:rsidR="002742DD" w:rsidRDefault="00274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(Corps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6DFE" w14:textId="77777777" w:rsidR="00B57191" w:rsidRPr="00E419A0" w:rsidRDefault="00B57191" w:rsidP="00595115">
    <w:pPr>
      <w:pStyle w:val="Pieddepage"/>
      <w:framePr w:w="578" w:wrap="notBeside" w:vAnchor="page" w:hAnchor="page" w:x="10763" w:y="16308"/>
      <w:jc w:val="right"/>
      <w:rPr>
        <w:color w:val="5C2483" w:themeColor="accent1"/>
        <w:sz w:val="17"/>
        <w:szCs w:val="17"/>
      </w:rPr>
    </w:pPr>
    <w:r w:rsidRPr="00E419A0">
      <w:rPr>
        <w:color w:val="5C2483" w:themeColor="accent1"/>
        <w:sz w:val="17"/>
        <w:szCs w:val="17"/>
      </w:rPr>
      <w:fldChar w:fldCharType="begin"/>
    </w:r>
    <w:r w:rsidRPr="00E419A0">
      <w:rPr>
        <w:color w:val="5C2483" w:themeColor="accent1"/>
        <w:sz w:val="17"/>
        <w:szCs w:val="17"/>
      </w:rPr>
      <w:instrText xml:space="preserve">PAGE  </w:instrText>
    </w:r>
    <w:r w:rsidRPr="00E419A0">
      <w:rPr>
        <w:color w:val="5C2483" w:themeColor="accent1"/>
        <w:sz w:val="17"/>
        <w:szCs w:val="17"/>
      </w:rPr>
      <w:fldChar w:fldCharType="separate"/>
    </w:r>
    <w:r w:rsidR="0053520F">
      <w:rPr>
        <w:noProof/>
        <w:color w:val="5C2483" w:themeColor="accent1"/>
        <w:sz w:val="17"/>
        <w:szCs w:val="17"/>
      </w:rPr>
      <w:t>3</w:t>
    </w:r>
    <w:r w:rsidRPr="00E419A0">
      <w:rPr>
        <w:color w:val="5C2483" w:themeColor="accent1"/>
        <w:sz w:val="17"/>
        <w:szCs w:val="17"/>
      </w:rPr>
      <w:fldChar w:fldCharType="end"/>
    </w:r>
    <w:r w:rsidRPr="00E419A0">
      <w:rPr>
        <w:color w:val="5C2483" w:themeColor="accent1"/>
        <w:sz w:val="17"/>
        <w:szCs w:val="17"/>
      </w:rPr>
      <w:t>/</w:t>
    </w:r>
    <w:r w:rsidRPr="00E419A0">
      <w:rPr>
        <w:color w:val="5C2483" w:themeColor="accent1"/>
        <w:sz w:val="17"/>
        <w:szCs w:val="17"/>
      </w:rPr>
      <w:fldChar w:fldCharType="begin"/>
    </w:r>
    <w:r w:rsidRPr="00E419A0">
      <w:rPr>
        <w:color w:val="5C2483" w:themeColor="accent1"/>
        <w:sz w:val="17"/>
        <w:szCs w:val="17"/>
      </w:rPr>
      <w:instrText xml:space="preserve"> NUMPAGES  \* MERGEFORMAT </w:instrText>
    </w:r>
    <w:r w:rsidRPr="00E419A0">
      <w:rPr>
        <w:color w:val="5C2483" w:themeColor="accent1"/>
        <w:sz w:val="17"/>
        <w:szCs w:val="17"/>
      </w:rPr>
      <w:fldChar w:fldCharType="separate"/>
    </w:r>
    <w:r w:rsidR="0053520F">
      <w:rPr>
        <w:noProof/>
        <w:color w:val="5C2483" w:themeColor="accent1"/>
        <w:sz w:val="17"/>
        <w:szCs w:val="17"/>
      </w:rPr>
      <w:t>3</w:t>
    </w:r>
    <w:r w:rsidRPr="00E419A0">
      <w:rPr>
        <w:color w:val="5C2483" w:themeColor="accent1"/>
        <w:sz w:val="17"/>
        <w:szCs w:val="17"/>
      </w:rPr>
      <w:fldChar w:fldCharType="end"/>
    </w:r>
  </w:p>
  <w:p w14:paraId="540084E9" w14:textId="77777777" w:rsidR="008F6A24" w:rsidRDefault="008F6A24"/>
  <w:p w14:paraId="32F7BE1B" w14:textId="77777777" w:rsidR="001B723B" w:rsidRDefault="001B723B"/>
  <w:p w14:paraId="6544D504" w14:textId="77777777" w:rsidR="001B723B" w:rsidRDefault="001B723B"/>
  <w:p w14:paraId="1CACF809" w14:textId="77777777" w:rsidR="001B723B" w:rsidRDefault="001B72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17F1" w14:textId="77777777" w:rsidR="00595115" w:rsidRDefault="00595115" w:rsidP="006E3A1F">
    <w:pPr>
      <w:pStyle w:val="Pieddepage"/>
      <w:ind w:right="360"/>
      <w:rPr>
        <w:color w:val="5C2483" w:themeColor="accent1"/>
      </w:rPr>
    </w:pPr>
    <w:r w:rsidRPr="00E419A0">
      <w:rPr>
        <w:noProof/>
        <w:color w:val="5C2483" w:themeColor="accent1"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072E3A" wp14:editId="68850F88">
              <wp:simplePos x="0" y="0"/>
              <wp:positionH relativeFrom="page">
                <wp:posOffset>358775</wp:posOffset>
              </wp:positionH>
              <wp:positionV relativeFrom="bottomMargin">
                <wp:posOffset>13275</wp:posOffset>
              </wp:positionV>
              <wp:extent cx="3040021" cy="712470"/>
              <wp:effectExtent l="0" t="0" r="0" b="1143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0021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81BB1" w14:textId="77777777" w:rsidR="008C7A98" w:rsidRPr="008C7A98" w:rsidRDefault="008C7A98" w:rsidP="008C7A98">
                          <w:pPr>
                            <w:spacing w:line="210" w:lineRule="exact"/>
                            <w:rPr>
                              <w:rFonts w:eastAsia="Times New Roman"/>
                              <w:bCs/>
                              <w:color w:val="5C2483" w:themeColor="accent1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8C7A98">
                            <w:rPr>
                              <w:rFonts w:eastAsia="Times New Roman"/>
                              <w:bCs/>
                              <w:color w:val="5C2483" w:themeColor="accent1"/>
                              <w:sz w:val="17"/>
                              <w:szCs w:val="17"/>
                              <w:shd w:val="clear" w:color="auto" w:fill="FFFFFF"/>
                            </w:rPr>
                            <w:t>10, rue Jean Goujon - 75008 Paris - France</w:t>
                          </w:r>
                          <w:r w:rsidRPr="008C7A98">
                            <w:rPr>
                              <w:rFonts w:eastAsia="Times New Roman"/>
                              <w:bCs/>
                              <w:color w:val="5C2483" w:themeColor="accent1"/>
                              <w:sz w:val="17"/>
                              <w:szCs w:val="17"/>
                              <w:shd w:val="clear" w:color="auto" w:fill="FFFFFF"/>
                            </w:rPr>
                            <w:br/>
                            <w:t>T. +33 (0)1 53 20 13 70</w:t>
                          </w:r>
                        </w:p>
                        <w:p w14:paraId="271B2F5E" w14:textId="77777777" w:rsidR="008C7A98" w:rsidRPr="008C7A98" w:rsidRDefault="008C7A98" w:rsidP="008C7A98">
                          <w:pPr>
                            <w:spacing w:line="210" w:lineRule="exact"/>
                            <w:rPr>
                              <w:rFonts w:eastAsia="Times New Roman"/>
                              <w:bCs/>
                              <w:color w:val="5C2483" w:themeColor="accent1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8C7A98">
                            <w:rPr>
                              <w:rFonts w:eastAsia="Times New Roman"/>
                              <w:bCs/>
                              <w:color w:val="5C2483" w:themeColor="accent1"/>
                              <w:sz w:val="17"/>
                              <w:szCs w:val="17"/>
                              <w:shd w:val="clear" w:color="auto" w:fill="FFFFFF"/>
                            </w:rPr>
                            <w:t>info@equilibredesenergies.org</w:t>
                          </w:r>
                        </w:p>
                        <w:p w14:paraId="58F4E95C" w14:textId="77777777" w:rsidR="00721243" w:rsidRPr="00721243" w:rsidRDefault="00721243" w:rsidP="00721243">
                          <w:pPr>
                            <w:spacing w:line="210" w:lineRule="exact"/>
                            <w:rPr>
                              <w:rFonts w:eastAsia="Times New Roman"/>
                              <w:b/>
                              <w:color w:val="F07E00"/>
                              <w:sz w:val="15"/>
                              <w:szCs w:val="15"/>
                            </w:rPr>
                          </w:pPr>
                          <w:r w:rsidRPr="00D601DC">
                            <w:rPr>
                              <w:rFonts w:eastAsia="Times New Roman"/>
                              <w:b/>
                              <w:bCs/>
                              <w:color w:val="F07E00"/>
                              <w:sz w:val="17"/>
                              <w:szCs w:val="17"/>
                              <w:shd w:val="clear" w:color="auto" w:fill="FFFFFF"/>
                            </w:rPr>
                            <w:t>www.equilibre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F07E00"/>
                              <w:sz w:val="17"/>
                              <w:szCs w:val="17"/>
                              <w:shd w:val="clear" w:color="auto" w:fill="FFFFFF"/>
                            </w:rPr>
                            <w:t>des</w:t>
                          </w:r>
                          <w:r w:rsidRPr="00D601DC">
                            <w:rPr>
                              <w:rFonts w:eastAsia="Times New Roman"/>
                              <w:b/>
                              <w:bCs/>
                              <w:color w:val="F07E00"/>
                              <w:sz w:val="17"/>
                              <w:szCs w:val="17"/>
                              <w:shd w:val="clear" w:color="auto" w:fill="FFFFFF"/>
                            </w:rPr>
                            <w:t>energies.org</w:t>
                          </w:r>
                        </w:p>
                        <w:p w14:paraId="46A961D0" w14:textId="77777777" w:rsidR="00836EC7" w:rsidRPr="00721243" w:rsidRDefault="008C7A98" w:rsidP="00721243">
                          <w:pPr>
                            <w:spacing w:line="210" w:lineRule="exact"/>
                            <w:rPr>
                              <w:rFonts w:eastAsia="Times New Roman"/>
                              <w:bCs/>
                              <w:color w:val="5C2483" w:themeColor="accent1"/>
                              <w:sz w:val="15"/>
                              <w:szCs w:val="15"/>
                              <w:shd w:val="clear" w:color="auto" w:fill="FFFFFF"/>
                            </w:rPr>
                          </w:pPr>
                          <w:r w:rsidRPr="008C7A98">
                            <w:rPr>
                              <w:rFonts w:eastAsia="Times New Roman"/>
                              <w:bCs/>
                              <w:color w:val="5C2483" w:themeColor="accent1"/>
                              <w:sz w:val="15"/>
                              <w:szCs w:val="15"/>
                              <w:shd w:val="clear" w:color="auto" w:fill="FFFFFF"/>
                            </w:rPr>
                            <w:t>Association loi de 1901 « équilibre des énergies 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72E3A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28.25pt;margin-top:1.05pt;width:239.3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" filled="f" stroked="f">
              <v:textbox style="mso-fit-shape-to-text:t" inset="0,,,0">
                <w:txbxContent>
                  <w:p w14:paraId="59081BB1" w14:textId="77777777" w:rsidR="008C7A98" w:rsidRPr="008C7A98" w:rsidRDefault="008C7A98" w:rsidP="008C7A98">
                    <w:pPr>
                      <w:spacing w:line="210" w:lineRule="exact"/>
                      <w:rPr>
                        <w:rFonts w:eastAsia="Times New Roman"/>
                        <w:bCs/>
                        <w:color w:val="5C2483" w:themeColor="accent1"/>
                        <w:sz w:val="17"/>
                        <w:szCs w:val="17"/>
                        <w:shd w:val="clear" w:color="auto" w:fill="FFFFFF"/>
                      </w:rPr>
                    </w:pPr>
                    <w:r w:rsidRPr="008C7A98">
                      <w:rPr>
                        <w:rFonts w:eastAsia="Times New Roman"/>
                        <w:bCs/>
                        <w:color w:val="5C2483" w:themeColor="accent1"/>
                        <w:sz w:val="17"/>
                        <w:szCs w:val="17"/>
                        <w:shd w:val="clear" w:color="auto" w:fill="FFFFFF"/>
                      </w:rPr>
                      <w:t>10, rue Jean Goujon - 75008 Paris - France</w:t>
                    </w:r>
                    <w:r w:rsidRPr="008C7A98">
                      <w:rPr>
                        <w:rFonts w:eastAsia="Times New Roman"/>
                        <w:bCs/>
                        <w:color w:val="5C2483" w:themeColor="accent1"/>
                        <w:sz w:val="17"/>
                        <w:szCs w:val="17"/>
                        <w:shd w:val="clear" w:color="auto" w:fill="FFFFFF"/>
                      </w:rPr>
                      <w:br/>
                      <w:t>T. +33 (0)1 53 20 13 70</w:t>
                    </w:r>
                  </w:p>
                  <w:p w14:paraId="271B2F5E" w14:textId="77777777" w:rsidR="008C7A98" w:rsidRPr="008C7A98" w:rsidRDefault="008C7A98" w:rsidP="008C7A98">
                    <w:pPr>
                      <w:spacing w:line="210" w:lineRule="exact"/>
                      <w:rPr>
                        <w:rFonts w:eastAsia="Times New Roman"/>
                        <w:bCs/>
                        <w:color w:val="5C2483" w:themeColor="accent1"/>
                        <w:sz w:val="17"/>
                        <w:szCs w:val="17"/>
                        <w:shd w:val="clear" w:color="auto" w:fill="FFFFFF"/>
                      </w:rPr>
                    </w:pPr>
                    <w:r w:rsidRPr="008C7A98">
                      <w:rPr>
                        <w:rFonts w:eastAsia="Times New Roman"/>
                        <w:bCs/>
                        <w:color w:val="5C2483" w:themeColor="accent1"/>
                        <w:sz w:val="17"/>
                        <w:szCs w:val="17"/>
                        <w:shd w:val="clear" w:color="auto" w:fill="FFFFFF"/>
                      </w:rPr>
                      <w:t>info@equilibredesenergies.org</w:t>
                    </w:r>
                  </w:p>
                  <w:p w14:paraId="58F4E95C" w14:textId="77777777" w:rsidR="00721243" w:rsidRPr="00721243" w:rsidRDefault="00721243" w:rsidP="00721243">
                    <w:pPr>
                      <w:spacing w:line="210" w:lineRule="exact"/>
                      <w:rPr>
                        <w:rFonts w:eastAsia="Times New Roman"/>
                        <w:b/>
                        <w:color w:val="F07E00"/>
                        <w:sz w:val="15"/>
                        <w:szCs w:val="15"/>
                      </w:rPr>
                    </w:pPr>
                    <w:r w:rsidRPr="00D601DC">
                      <w:rPr>
                        <w:rFonts w:eastAsia="Times New Roman"/>
                        <w:b/>
                        <w:bCs/>
                        <w:color w:val="F07E00"/>
                        <w:sz w:val="17"/>
                        <w:szCs w:val="17"/>
                        <w:shd w:val="clear" w:color="auto" w:fill="FFFFFF"/>
                      </w:rPr>
                      <w:t>www.equilibre</w:t>
                    </w:r>
                    <w:r>
                      <w:rPr>
                        <w:rFonts w:eastAsia="Times New Roman"/>
                        <w:b/>
                        <w:bCs/>
                        <w:color w:val="F07E00"/>
                        <w:sz w:val="17"/>
                        <w:szCs w:val="17"/>
                        <w:shd w:val="clear" w:color="auto" w:fill="FFFFFF"/>
                      </w:rPr>
                      <w:t>des</w:t>
                    </w:r>
                    <w:r w:rsidRPr="00D601DC">
                      <w:rPr>
                        <w:rFonts w:eastAsia="Times New Roman"/>
                        <w:b/>
                        <w:bCs/>
                        <w:color w:val="F07E00"/>
                        <w:sz w:val="17"/>
                        <w:szCs w:val="17"/>
                        <w:shd w:val="clear" w:color="auto" w:fill="FFFFFF"/>
                      </w:rPr>
                      <w:t>energies.org</w:t>
                    </w:r>
                  </w:p>
                  <w:p w14:paraId="46A961D0" w14:textId="77777777" w:rsidR="00836EC7" w:rsidRPr="00721243" w:rsidRDefault="008C7A98" w:rsidP="00721243">
                    <w:pPr>
                      <w:spacing w:line="210" w:lineRule="exact"/>
                      <w:rPr>
                        <w:rFonts w:eastAsia="Times New Roman"/>
                        <w:bCs/>
                        <w:color w:val="5C2483" w:themeColor="accent1"/>
                        <w:sz w:val="15"/>
                        <w:szCs w:val="15"/>
                        <w:shd w:val="clear" w:color="auto" w:fill="FFFFFF"/>
                      </w:rPr>
                    </w:pPr>
                    <w:r w:rsidRPr="008C7A98">
                      <w:rPr>
                        <w:rFonts w:eastAsia="Times New Roman"/>
                        <w:bCs/>
                        <w:color w:val="5C2483" w:themeColor="accent1"/>
                        <w:sz w:val="15"/>
                        <w:szCs w:val="15"/>
                        <w:shd w:val="clear" w:color="auto" w:fill="FFFFFF"/>
                      </w:rPr>
                      <w:t>Association loi de 1901 « équilibre des énergies »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1C83CD0" w14:textId="77777777" w:rsidR="008C7A98" w:rsidRPr="00E419A0" w:rsidRDefault="008C7A98" w:rsidP="006E3A1F">
    <w:pPr>
      <w:pStyle w:val="Pieddepage"/>
      <w:ind w:right="360"/>
      <w:rPr>
        <w:color w:val="5C2483" w:themeColor="accent1"/>
      </w:rPr>
    </w:pPr>
  </w:p>
  <w:p w14:paraId="49D1BD3F" w14:textId="77777777" w:rsidR="008F6A24" w:rsidRDefault="008F6A24"/>
  <w:p w14:paraId="0E55F0E2" w14:textId="77777777" w:rsidR="00595115" w:rsidRPr="00E419A0" w:rsidRDefault="00595115" w:rsidP="00595115">
    <w:pPr>
      <w:pStyle w:val="Pieddepage"/>
      <w:framePr w:w="578" w:wrap="notBeside" w:vAnchor="page" w:hAnchor="page" w:x="10763" w:y="16308"/>
      <w:jc w:val="right"/>
      <w:rPr>
        <w:color w:val="5C2483" w:themeColor="accent1"/>
        <w:sz w:val="17"/>
        <w:szCs w:val="17"/>
      </w:rPr>
    </w:pPr>
    <w:r w:rsidRPr="00E419A0">
      <w:rPr>
        <w:color w:val="5C2483" w:themeColor="accent1"/>
        <w:sz w:val="17"/>
        <w:szCs w:val="17"/>
      </w:rPr>
      <w:fldChar w:fldCharType="begin"/>
    </w:r>
    <w:r w:rsidRPr="00E419A0">
      <w:rPr>
        <w:color w:val="5C2483" w:themeColor="accent1"/>
        <w:sz w:val="17"/>
        <w:szCs w:val="17"/>
      </w:rPr>
      <w:instrText xml:space="preserve">PAGE  </w:instrText>
    </w:r>
    <w:r w:rsidRPr="00E419A0">
      <w:rPr>
        <w:color w:val="5C2483" w:themeColor="accent1"/>
        <w:sz w:val="17"/>
        <w:szCs w:val="17"/>
      </w:rPr>
      <w:fldChar w:fldCharType="separate"/>
    </w:r>
    <w:r w:rsidR="005375D6">
      <w:rPr>
        <w:noProof/>
        <w:color w:val="5C2483" w:themeColor="accent1"/>
        <w:sz w:val="17"/>
        <w:szCs w:val="17"/>
      </w:rPr>
      <w:t>1</w:t>
    </w:r>
    <w:r w:rsidRPr="00E419A0">
      <w:rPr>
        <w:color w:val="5C2483" w:themeColor="accent1"/>
        <w:sz w:val="17"/>
        <w:szCs w:val="17"/>
      </w:rPr>
      <w:fldChar w:fldCharType="end"/>
    </w:r>
    <w:r w:rsidRPr="00E419A0">
      <w:rPr>
        <w:color w:val="5C2483" w:themeColor="accent1"/>
        <w:sz w:val="17"/>
        <w:szCs w:val="17"/>
      </w:rPr>
      <w:t>/</w:t>
    </w:r>
    <w:r w:rsidRPr="00E419A0">
      <w:rPr>
        <w:color w:val="5C2483" w:themeColor="accent1"/>
        <w:sz w:val="17"/>
        <w:szCs w:val="17"/>
      </w:rPr>
      <w:fldChar w:fldCharType="begin"/>
    </w:r>
    <w:r w:rsidRPr="00E419A0">
      <w:rPr>
        <w:color w:val="5C2483" w:themeColor="accent1"/>
        <w:sz w:val="17"/>
        <w:szCs w:val="17"/>
      </w:rPr>
      <w:instrText xml:space="preserve"> NUMPAGES  \* MERGEFORMAT </w:instrText>
    </w:r>
    <w:r w:rsidRPr="00E419A0">
      <w:rPr>
        <w:color w:val="5C2483" w:themeColor="accent1"/>
        <w:sz w:val="17"/>
        <w:szCs w:val="17"/>
      </w:rPr>
      <w:fldChar w:fldCharType="separate"/>
    </w:r>
    <w:r w:rsidR="005375D6">
      <w:rPr>
        <w:noProof/>
        <w:color w:val="5C2483" w:themeColor="accent1"/>
        <w:sz w:val="17"/>
        <w:szCs w:val="17"/>
      </w:rPr>
      <w:t>1</w:t>
    </w:r>
    <w:r w:rsidRPr="00E419A0">
      <w:rPr>
        <w:color w:val="5C2483" w:themeColor="accent1"/>
        <w:sz w:val="17"/>
        <w:szCs w:val="17"/>
      </w:rPr>
      <w:fldChar w:fldCharType="end"/>
    </w:r>
  </w:p>
  <w:p w14:paraId="1206BD29" w14:textId="77777777" w:rsidR="001B723B" w:rsidRDefault="001B7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8A15" w14:textId="77777777" w:rsidR="002742DD" w:rsidRDefault="002742DD">
      <w:r>
        <w:separator/>
      </w:r>
    </w:p>
  </w:footnote>
  <w:footnote w:type="continuationSeparator" w:id="0">
    <w:p w14:paraId="673AD8DC" w14:textId="77777777" w:rsidR="002742DD" w:rsidRDefault="002742DD" w:rsidP="00234626">
      <w:r>
        <w:continuationSeparator/>
      </w:r>
    </w:p>
    <w:p w14:paraId="579E6E53" w14:textId="77777777" w:rsidR="002742DD" w:rsidRDefault="002742DD"/>
    <w:p w14:paraId="73FB5066" w14:textId="77777777" w:rsidR="002742DD" w:rsidRDefault="00274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830C" w14:textId="77777777" w:rsidR="00F34430" w:rsidRDefault="001C427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1F02787" wp14:editId="652941C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96200" cy="520700"/>
              <wp:effectExtent l="0" t="0" r="0" b="0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696200" cy="520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1B18B" w14:textId="77777777" w:rsidR="001C4274" w:rsidRDefault="001C4274" w:rsidP="001C4274">
                          <w:pPr>
                            <w:jc w:val="center"/>
                            <w:rPr>
                              <w:color w:val="C0C0C0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C0C0C0"/>
                              <w:sz w:val="48"/>
                              <w:szCs w:val="48"/>
                            </w:rPr>
                            <w:t>CONFIDENTIEL, NE PAS DIFFUSER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02787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606pt;height:41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" o:allowincell="f" filled="f" stroked="f">
              <v:stroke joinstyle="round"/>
              <v:path arrowok="t"/>
              <v:textbox>
                <w:txbxContent>
                  <w:p w14:paraId="53B1B18B" w14:textId="77777777" w:rsidR="001C4274" w:rsidRDefault="001C4274" w:rsidP="001C4274">
                    <w:pPr>
                      <w:jc w:val="center"/>
                      <w:rPr>
                        <w:color w:val="C0C0C0"/>
                        <w:sz w:val="48"/>
                        <w:szCs w:val="48"/>
                      </w:rPr>
                    </w:pPr>
                    <w:r>
                      <w:rPr>
                        <w:color w:val="C0C0C0"/>
                        <w:sz w:val="48"/>
                        <w:szCs w:val="48"/>
                      </w:rPr>
                      <w:t>CONFIDENTIEL, NE PAS DIFFUSER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8FAE" w14:textId="27233EBA" w:rsidR="001B723B" w:rsidRDefault="00C34CB9" w:rsidP="0035553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1B9DE03C" wp14:editId="0E2A1EA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78400" cy="982800"/>
          <wp:effectExtent l="0" t="0" r="10795" b="825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84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E89B" w14:textId="24018378" w:rsidR="001B723B" w:rsidRDefault="007A258B" w:rsidP="007A6D2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168" behindDoc="0" locked="0" layoutInCell="1" allowOverlap="1" wp14:anchorId="65D2BAC2" wp14:editId="3ADB837C">
          <wp:simplePos x="0" y="0"/>
          <wp:positionH relativeFrom="page">
            <wp:posOffset>340995</wp:posOffset>
          </wp:positionH>
          <wp:positionV relativeFrom="page">
            <wp:posOffset>131445</wp:posOffset>
          </wp:positionV>
          <wp:extent cx="2914286" cy="936000"/>
          <wp:effectExtent l="0" t="0" r="0" b="3810"/>
          <wp:wrapNone/>
          <wp:docPr id="2" name="Image 2" descr="/Users/gaya_1/Documents/Clients en cours/EDEN13 CHARTE GRAPHIQUE DOCUMENTS/Logo EDEN/Logo EDEN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aya_1/Documents/Clients en cours/EDEN13 CHARTE GRAPHIQUE DOCUMENTS/Logo EDEN/Logo EDEN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286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E11"/>
    <w:multiLevelType w:val="multilevel"/>
    <w:tmpl w:val="55F616B4"/>
    <w:name w:val="Liste EDEN 201822"/>
    <w:lvl w:ilvl="0">
      <w:start w:val="1"/>
      <w:numFmt w:val="decimal"/>
      <w:pStyle w:val="1listeEdEn"/>
      <w:lvlText w:val="%1."/>
      <w:lvlJc w:val="left"/>
      <w:pPr>
        <w:ind w:left="360" w:hanging="360"/>
      </w:pPr>
    </w:lvl>
    <w:lvl w:ilvl="1">
      <w:start w:val="1"/>
      <w:numFmt w:val="decimal"/>
      <w:pStyle w:val="11liste"/>
      <w:lvlText w:val="%1.%2."/>
      <w:lvlJc w:val="left"/>
      <w:pPr>
        <w:ind w:left="792" w:hanging="432"/>
      </w:pPr>
    </w:lvl>
    <w:lvl w:ilvl="2">
      <w:start w:val="1"/>
      <w:numFmt w:val="decimal"/>
      <w:pStyle w:val="111liste"/>
      <w:lvlText w:val="%1.%2.%3."/>
      <w:lvlJc w:val="left"/>
      <w:pPr>
        <w:ind w:left="1497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ist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878A0"/>
    <w:multiLevelType w:val="multilevel"/>
    <w:tmpl w:val="77428EC8"/>
    <w:numStyleLink w:val="Puce2"/>
  </w:abstractNum>
  <w:abstractNum w:abstractNumId="2" w15:restartNumberingAfterBreak="0">
    <w:nsid w:val="088B740C"/>
    <w:multiLevelType w:val="multilevel"/>
    <w:tmpl w:val="77428EC8"/>
    <w:numStyleLink w:val="Puce2"/>
  </w:abstractNum>
  <w:abstractNum w:abstractNumId="3" w15:restartNumberingAfterBreak="0">
    <w:nsid w:val="0D507ADF"/>
    <w:multiLevelType w:val="multilevel"/>
    <w:tmpl w:val="77428EC8"/>
    <w:styleLink w:val="Pu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C00" w:themeColor="accent3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4C00" w:themeColor="accent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4C00" w:themeColor="accent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C38"/>
    <w:multiLevelType w:val="multilevel"/>
    <w:tmpl w:val="77428EC8"/>
    <w:numStyleLink w:val="Puce2"/>
  </w:abstractNum>
  <w:abstractNum w:abstractNumId="5" w15:restartNumberingAfterBreak="0">
    <w:nsid w:val="12987F17"/>
    <w:multiLevelType w:val="multilevel"/>
    <w:tmpl w:val="77428EC8"/>
    <w:numStyleLink w:val="Puce2"/>
  </w:abstractNum>
  <w:abstractNum w:abstractNumId="6" w15:restartNumberingAfterBreak="0">
    <w:nsid w:val="14A37542"/>
    <w:multiLevelType w:val="multilevel"/>
    <w:tmpl w:val="A58EB6CA"/>
    <w:name w:val="Liste EdEn numérotation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2439BB"/>
    <w:multiLevelType w:val="multilevel"/>
    <w:tmpl w:val="E92E2690"/>
    <w:name w:val="Liste EdEn numérotation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F4C0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C9211B"/>
    <w:multiLevelType w:val="multilevel"/>
    <w:tmpl w:val="77428EC8"/>
    <w:numStyleLink w:val="Puce2"/>
  </w:abstractNum>
  <w:abstractNum w:abstractNumId="9" w15:restartNumberingAfterBreak="0">
    <w:nsid w:val="2B187C1C"/>
    <w:multiLevelType w:val="multilevel"/>
    <w:tmpl w:val="77428EC8"/>
    <w:numStyleLink w:val="Puce2"/>
  </w:abstractNum>
  <w:abstractNum w:abstractNumId="10" w15:restartNumberingAfterBreak="0">
    <w:nsid w:val="37241884"/>
    <w:multiLevelType w:val="hybridMultilevel"/>
    <w:tmpl w:val="4678C418"/>
    <w:lvl w:ilvl="0" w:tplc="D66EE81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213EE"/>
    <w:multiLevelType w:val="multilevel"/>
    <w:tmpl w:val="77428EC8"/>
    <w:numStyleLink w:val="Puce2"/>
  </w:abstractNum>
  <w:abstractNum w:abstractNumId="12" w15:restartNumberingAfterBreak="0">
    <w:nsid w:val="39AF2AF6"/>
    <w:multiLevelType w:val="multilevel"/>
    <w:tmpl w:val="CA721E72"/>
    <w:name w:val="Liste EdEn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F4C0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color w:val="7030A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357C13"/>
    <w:multiLevelType w:val="multilevel"/>
    <w:tmpl w:val="08DE6F68"/>
    <w:name w:val="Liste EdEn numérotation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F4C0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5A5E95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88140D"/>
    <w:multiLevelType w:val="multilevel"/>
    <w:tmpl w:val="77428EC8"/>
    <w:numStyleLink w:val="Puce2"/>
  </w:abstractNum>
  <w:abstractNum w:abstractNumId="16" w15:restartNumberingAfterBreak="0">
    <w:nsid w:val="45DC59CF"/>
    <w:multiLevelType w:val="multilevel"/>
    <w:tmpl w:val="0C60FD38"/>
    <w:name w:val="Liste EdEn numérotation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F4C0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14" w:hanging="7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D65412"/>
    <w:multiLevelType w:val="multilevel"/>
    <w:tmpl w:val="77428EC8"/>
    <w:numStyleLink w:val="Puce2"/>
  </w:abstractNum>
  <w:abstractNum w:abstractNumId="18" w15:restartNumberingAfterBreak="0">
    <w:nsid w:val="4D0612E5"/>
    <w:multiLevelType w:val="multilevel"/>
    <w:tmpl w:val="77428EC8"/>
    <w:numStyleLink w:val="Puce2"/>
  </w:abstractNum>
  <w:abstractNum w:abstractNumId="19" w15:restartNumberingAfterBreak="0">
    <w:nsid w:val="517D702B"/>
    <w:multiLevelType w:val="hybridMultilevel"/>
    <w:tmpl w:val="EFCE7BFC"/>
    <w:lvl w:ilvl="0" w:tplc="DAC2E020">
      <w:start w:val="1"/>
      <w:numFmt w:val="bullet"/>
      <w:pStyle w:val="Puces1EdEn"/>
      <w:lvlText w:val=""/>
      <w:lvlJc w:val="left"/>
      <w:pPr>
        <w:ind w:left="720" w:hanging="360"/>
      </w:pPr>
      <w:rPr>
        <w:rFonts w:ascii="Symbol" w:hAnsi="Symbol" w:hint="default"/>
        <w:color w:val="FF4C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2952"/>
    <w:multiLevelType w:val="multilevel"/>
    <w:tmpl w:val="E6A84B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77575D7"/>
    <w:multiLevelType w:val="multilevel"/>
    <w:tmpl w:val="77428EC8"/>
    <w:numStyleLink w:val="Puce2"/>
  </w:abstractNum>
  <w:abstractNum w:abstractNumId="22" w15:restartNumberingAfterBreak="0">
    <w:nsid w:val="60FA1073"/>
    <w:multiLevelType w:val="multilevel"/>
    <w:tmpl w:val="79A6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235027"/>
    <w:multiLevelType w:val="hybridMultilevel"/>
    <w:tmpl w:val="56B866C4"/>
    <w:lvl w:ilvl="0" w:tplc="DADCDF06">
      <w:start w:val="1"/>
      <w:numFmt w:val="bullet"/>
      <w:pStyle w:val="Puces2EdEn"/>
      <w:lvlText w:val=""/>
      <w:lvlJc w:val="left"/>
      <w:pPr>
        <w:ind w:left="720" w:hanging="360"/>
      </w:pPr>
      <w:rPr>
        <w:rFonts w:ascii="Wingdings" w:hAnsi="Wingdings" w:hint="default"/>
        <w:color w:val="FF4C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544A7"/>
    <w:multiLevelType w:val="multilevel"/>
    <w:tmpl w:val="77428EC8"/>
    <w:numStyleLink w:val="Puce2"/>
  </w:abstractNum>
  <w:abstractNum w:abstractNumId="25" w15:restartNumberingAfterBreak="0">
    <w:nsid w:val="68EE3BF3"/>
    <w:multiLevelType w:val="multilevel"/>
    <w:tmpl w:val="77428EC8"/>
    <w:numStyleLink w:val="Puce2"/>
  </w:abstractNum>
  <w:abstractNum w:abstractNumId="26" w15:restartNumberingAfterBreak="0">
    <w:nsid w:val="69D267AD"/>
    <w:multiLevelType w:val="multilevel"/>
    <w:tmpl w:val="77428EC8"/>
    <w:numStyleLink w:val="Puce2"/>
  </w:abstractNum>
  <w:abstractNum w:abstractNumId="27" w15:restartNumberingAfterBreak="0">
    <w:nsid w:val="6F166FC1"/>
    <w:multiLevelType w:val="multilevel"/>
    <w:tmpl w:val="04C4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893542"/>
    <w:multiLevelType w:val="multilevel"/>
    <w:tmpl w:val="CA721E72"/>
    <w:name w:val="Liste EdEn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F4C0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color w:val="7030A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14"/>
  </w:num>
  <w:num w:numId="4">
    <w:abstractNumId w:val="20"/>
  </w:num>
  <w:num w:numId="5">
    <w:abstractNumId w:val="0"/>
  </w:num>
  <w:num w:numId="6">
    <w:abstractNumId w:val="3"/>
  </w:num>
  <w:num w:numId="7">
    <w:abstractNumId w:val="18"/>
  </w:num>
  <w:num w:numId="8">
    <w:abstractNumId w:val="2"/>
  </w:num>
  <w:num w:numId="9">
    <w:abstractNumId w:val="9"/>
  </w:num>
  <w:num w:numId="10">
    <w:abstractNumId w:val="24"/>
  </w:num>
  <w:num w:numId="11">
    <w:abstractNumId w:val="17"/>
  </w:num>
  <w:num w:numId="12">
    <w:abstractNumId w:val="26"/>
  </w:num>
  <w:num w:numId="13">
    <w:abstractNumId w:val="15"/>
  </w:num>
  <w:num w:numId="14">
    <w:abstractNumId w:val="1"/>
  </w:num>
  <w:num w:numId="15">
    <w:abstractNumId w:val="4"/>
  </w:num>
  <w:num w:numId="16">
    <w:abstractNumId w:val="5"/>
  </w:num>
  <w:num w:numId="17">
    <w:abstractNumId w:val="22"/>
  </w:num>
  <w:num w:numId="18">
    <w:abstractNumId w:val="8"/>
  </w:num>
  <w:num w:numId="19">
    <w:abstractNumId w:val="27"/>
  </w:num>
  <w:num w:numId="20">
    <w:abstractNumId w:val="11"/>
  </w:num>
  <w:num w:numId="21">
    <w:abstractNumId w:val="21"/>
  </w:num>
  <w:num w:numId="22">
    <w:abstractNumId w:val="25"/>
  </w:num>
  <w:num w:numId="2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02"/>
    <w:rsid w:val="00003EB3"/>
    <w:rsid w:val="00005D47"/>
    <w:rsid w:val="00010580"/>
    <w:rsid w:val="00012CB2"/>
    <w:rsid w:val="000130AA"/>
    <w:rsid w:val="00015D3A"/>
    <w:rsid w:val="00017529"/>
    <w:rsid w:val="00017AA7"/>
    <w:rsid w:val="00020125"/>
    <w:rsid w:val="00023C63"/>
    <w:rsid w:val="00025671"/>
    <w:rsid w:val="000313A3"/>
    <w:rsid w:val="00035820"/>
    <w:rsid w:val="00047B30"/>
    <w:rsid w:val="000522A2"/>
    <w:rsid w:val="000549A6"/>
    <w:rsid w:val="00056759"/>
    <w:rsid w:val="000643B6"/>
    <w:rsid w:val="000668E7"/>
    <w:rsid w:val="00067427"/>
    <w:rsid w:val="000676E5"/>
    <w:rsid w:val="00073265"/>
    <w:rsid w:val="00074CEC"/>
    <w:rsid w:val="000859DE"/>
    <w:rsid w:val="00086369"/>
    <w:rsid w:val="00087F63"/>
    <w:rsid w:val="000A16CA"/>
    <w:rsid w:val="000A4F4B"/>
    <w:rsid w:val="000B168A"/>
    <w:rsid w:val="000B7517"/>
    <w:rsid w:val="000C01A0"/>
    <w:rsid w:val="000C0A4C"/>
    <w:rsid w:val="000C1595"/>
    <w:rsid w:val="000D1900"/>
    <w:rsid w:val="000D1A01"/>
    <w:rsid w:val="000D45E0"/>
    <w:rsid w:val="000E1421"/>
    <w:rsid w:val="000F627D"/>
    <w:rsid w:val="00101018"/>
    <w:rsid w:val="00104954"/>
    <w:rsid w:val="00105D21"/>
    <w:rsid w:val="00106C68"/>
    <w:rsid w:val="0012699C"/>
    <w:rsid w:val="00126FB6"/>
    <w:rsid w:val="00131616"/>
    <w:rsid w:val="001332B4"/>
    <w:rsid w:val="00135D62"/>
    <w:rsid w:val="00140B1A"/>
    <w:rsid w:val="00141573"/>
    <w:rsid w:val="00144CBA"/>
    <w:rsid w:val="0015713F"/>
    <w:rsid w:val="00161132"/>
    <w:rsid w:val="00171DDD"/>
    <w:rsid w:val="00177024"/>
    <w:rsid w:val="00177358"/>
    <w:rsid w:val="0018035C"/>
    <w:rsid w:val="00190C9A"/>
    <w:rsid w:val="001A01EE"/>
    <w:rsid w:val="001A0931"/>
    <w:rsid w:val="001A1A91"/>
    <w:rsid w:val="001A5579"/>
    <w:rsid w:val="001A74E9"/>
    <w:rsid w:val="001B0681"/>
    <w:rsid w:val="001B45F6"/>
    <w:rsid w:val="001B723B"/>
    <w:rsid w:val="001C108E"/>
    <w:rsid w:val="001C3E60"/>
    <w:rsid w:val="001C4274"/>
    <w:rsid w:val="001D00FF"/>
    <w:rsid w:val="001D7BB9"/>
    <w:rsid w:val="001E3760"/>
    <w:rsid w:val="001E3D97"/>
    <w:rsid w:val="001F054A"/>
    <w:rsid w:val="001F10B4"/>
    <w:rsid w:val="001F6216"/>
    <w:rsid w:val="00203D1C"/>
    <w:rsid w:val="002164CF"/>
    <w:rsid w:val="002208BB"/>
    <w:rsid w:val="0022181E"/>
    <w:rsid w:val="002223D9"/>
    <w:rsid w:val="002277AD"/>
    <w:rsid w:val="00230716"/>
    <w:rsid w:val="00234626"/>
    <w:rsid w:val="00234895"/>
    <w:rsid w:val="00234A0F"/>
    <w:rsid w:val="00244F53"/>
    <w:rsid w:val="00245535"/>
    <w:rsid w:val="00250EC9"/>
    <w:rsid w:val="002529D9"/>
    <w:rsid w:val="00255CD5"/>
    <w:rsid w:val="0026526D"/>
    <w:rsid w:val="0026779B"/>
    <w:rsid w:val="002742DD"/>
    <w:rsid w:val="00275F43"/>
    <w:rsid w:val="002776D2"/>
    <w:rsid w:val="002815A4"/>
    <w:rsid w:val="0028427B"/>
    <w:rsid w:val="00286EDF"/>
    <w:rsid w:val="00290644"/>
    <w:rsid w:val="00292D15"/>
    <w:rsid w:val="00296236"/>
    <w:rsid w:val="00297141"/>
    <w:rsid w:val="002A08A5"/>
    <w:rsid w:val="002A192D"/>
    <w:rsid w:val="002A7F92"/>
    <w:rsid w:val="002B4D1B"/>
    <w:rsid w:val="002B59A1"/>
    <w:rsid w:val="002C2FAF"/>
    <w:rsid w:val="002C6F37"/>
    <w:rsid w:val="002D21D7"/>
    <w:rsid w:val="002D581A"/>
    <w:rsid w:val="002D5C6C"/>
    <w:rsid w:val="002D69BC"/>
    <w:rsid w:val="002F27B8"/>
    <w:rsid w:val="00301EE5"/>
    <w:rsid w:val="00307F70"/>
    <w:rsid w:val="00312E41"/>
    <w:rsid w:val="00316AFE"/>
    <w:rsid w:val="00323DB6"/>
    <w:rsid w:val="003250A8"/>
    <w:rsid w:val="003260C7"/>
    <w:rsid w:val="00327314"/>
    <w:rsid w:val="00330ED6"/>
    <w:rsid w:val="00345CA3"/>
    <w:rsid w:val="003470EB"/>
    <w:rsid w:val="003539CE"/>
    <w:rsid w:val="00355538"/>
    <w:rsid w:val="00366319"/>
    <w:rsid w:val="0037220B"/>
    <w:rsid w:val="003814DD"/>
    <w:rsid w:val="00385DC1"/>
    <w:rsid w:val="00391453"/>
    <w:rsid w:val="003933F7"/>
    <w:rsid w:val="00397C78"/>
    <w:rsid w:val="00397E85"/>
    <w:rsid w:val="003A4346"/>
    <w:rsid w:val="003A540D"/>
    <w:rsid w:val="003C2012"/>
    <w:rsid w:val="003C231A"/>
    <w:rsid w:val="003C2FD4"/>
    <w:rsid w:val="003C44C8"/>
    <w:rsid w:val="003E00E5"/>
    <w:rsid w:val="003E09F8"/>
    <w:rsid w:val="003E12B5"/>
    <w:rsid w:val="003E1F6C"/>
    <w:rsid w:val="003E2617"/>
    <w:rsid w:val="003E454D"/>
    <w:rsid w:val="003F06D2"/>
    <w:rsid w:val="003F59A9"/>
    <w:rsid w:val="003F61F7"/>
    <w:rsid w:val="00405050"/>
    <w:rsid w:val="00407E44"/>
    <w:rsid w:val="00412B6E"/>
    <w:rsid w:val="00416085"/>
    <w:rsid w:val="004175F9"/>
    <w:rsid w:val="00417F6C"/>
    <w:rsid w:val="004271B1"/>
    <w:rsid w:val="00427831"/>
    <w:rsid w:val="00430D7F"/>
    <w:rsid w:val="004313E8"/>
    <w:rsid w:val="00433295"/>
    <w:rsid w:val="00436DDF"/>
    <w:rsid w:val="00437392"/>
    <w:rsid w:val="00437F37"/>
    <w:rsid w:val="004404C3"/>
    <w:rsid w:val="00441377"/>
    <w:rsid w:val="004423D3"/>
    <w:rsid w:val="004428A6"/>
    <w:rsid w:val="00444F30"/>
    <w:rsid w:val="00447A4C"/>
    <w:rsid w:val="00461939"/>
    <w:rsid w:val="0046472C"/>
    <w:rsid w:val="00465B4B"/>
    <w:rsid w:val="0047059E"/>
    <w:rsid w:val="0048148F"/>
    <w:rsid w:val="00482E1D"/>
    <w:rsid w:val="00483798"/>
    <w:rsid w:val="004951D6"/>
    <w:rsid w:val="004A293A"/>
    <w:rsid w:val="004A439C"/>
    <w:rsid w:val="004A470F"/>
    <w:rsid w:val="004A7CFF"/>
    <w:rsid w:val="004B6AB0"/>
    <w:rsid w:val="004C1A7A"/>
    <w:rsid w:val="004C4890"/>
    <w:rsid w:val="004C6063"/>
    <w:rsid w:val="004C6A66"/>
    <w:rsid w:val="004D0D84"/>
    <w:rsid w:val="004D1C40"/>
    <w:rsid w:val="004D5C2A"/>
    <w:rsid w:val="004D65F6"/>
    <w:rsid w:val="004E1096"/>
    <w:rsid w:val="004F2963"/>
    <w:rsid w:val="00501729"/>
    <w:rsid w:val="00516C39"/>
    <w:rsid w:val="00517C94"/>
    <w:rsid w:val="00523B05"/>
    <w:rsid w:val="00526D5F"/>
    <w:rsid w:val="00533DED"/>
    <w:rsid w:val="0053520F"/>
    <w:rsid w:val="00536CF2"/>
    <w:rsid w:val="005375D6"/>
    <w:rsid w:val="0053763D"/>
    <w:rsid w:val="00545553"/>
    <w:rsid w:val="00547F79"/>
    <w:rsid w:val="005501AA"/>
    <w:rsid w:val="0055150B"/>
    <w:rsid w:val="00551A9F"/>
    <w:rsid w:val="005577DD"/>
    <w:rsid w:val="00565521"/>
    <w:rsid w:val="00572337"/>
    <w:rsid w:val="00585A07"/>
    <w:rsid w:val="0059203F"/>
    <w:rsid w:val="005934AF"/>
    <w:rsid w:val="00595115"/>
    <w:rsid w:val="00596535"/>
    <w:rsid w:val="005A1C09"/>
    <w:rsid w:val="005B21E3"/>
    <w:rsid w:val="005B28E8"/>
    <w:rsid w:val="005B2C9C"/>
    <w:rsid w:val="005B4E45"/>
    <w:rsid w:val="005B4F7C"/>
    <w:rsid w:val="005B60A8"/>
    <w:rsid w:val="005B6663"/>
    <w:rsid w:val="005B6991"/>
    <w:rsid w:val="005B726E"/>
    <w:rsid w:val="005C00C0"/>
    <w:rsid w:val="005C318C"/>
    <w:rsid w:val="005D36ED"/>
    <w:rsid w:val="005D39A7"/>
    <w:rsid w:val="005E224D"/>
    <w:rsid w:val="005E6EC7"/>
    <w:rsid w:val="005F2FA0"/>
    <w:rsid w:val="005F4539"/>
    <w:rsid w:val="005F4953"/>
    <w:rsid w:val="006025F1"/>
    <w:rsid w:val="00604CAF"/>
    <w:rsid w:val="00610D88"/>
    <w:rsid w:val="00611E1B"/>
    <w:rsid w:val="00612161"/>
    <w:rsid w:val="00624B21"/>
    <w:rsid w:val="00631596"/>
    <w:rsid w:val="00632E59"/>
    <w:rsid w:val="00632FBB"/>
    <w:rsid w:val="00643EA3"/>
    <w:rsid w:val="006476F5"/>
    <w:rsid w:val="006635C8"/>
    <w:rsid w:val="00665DE4"/>
    <w:rsid w:val="00676409"/>
    <w:rsid w:val="00687EA4"/>
    <w:rsid w:val="00692009"/>
    <w:rsid w:val="00692735"/>
    <w:rsid w:val="00692795"/>
    <w:rsid w:val="00694856"/>
    <w:rsid w:val="00695F96"/>
    <w:rsid w:val="006A502E"/>
    <w:rsid w:val="006A718F"/>
    <w:rsid w:val="006B2B70"/>
    <w:rsid w:val="006B34EC"/>
    <w:rsid w:val="006C50BC"/>
    <w:rsid w:val="006D05C5"/>
    <w:rsid w:val="006D2975"/>
    <w:rsid w:val="006D615E"/>
    <w:rsid w:val="006D7382"/>
    <w:rsid w:val="006E03C6"/>
    <w:rsid w:val="006E3A1F"/>
    <w:rsid w:val="006E604A"/>
    <w:rsid w:val="006E72EC"/>
    <w:rsid w:val="006F1028"/>
    <w:rsid w:val="006F31F7"/>
    <w:rsid w:val="006F54B8"/>
    <w:rsid w:val="006F7342"/>
    <w:rsid w:val="00701143"/>
    <w:rsid w:val="007052A5"/>
    <w:rsid w:val="007054F3"/>
    <w:rsid w:val="0071070F"/>
    <w:rsid w:val="007122D2"/>
    <w:rsid w:val="00713819"/>
    <w:rsid w:val="00721243"/>
    <w:rsid w:val="007270CF"/>
    <w:rsid w:val="0073213C"/>
    <w:rsid w:val="00736370"/>
    <w:rsid w:val="00740665"/>
    <w:rsid w:val="00744BF7"/>
    <w:rsid w:val="007558F8"/>
    <w:rsid w:val="00764828"/>
    <w:rsid w:val="00772D8F"/>
    <w:rsid w:val="00776C92"/>
    <w:rsid w:val="00777F70"/>
    <w:rsid w:val="007850EC"/>
    <w:rsid w:val="00785F41"/>
    <w:rsid w:val="00791DC8"/>
    <w:rsid w:val="00793399"/>
    <w:rsid w:val="007935D1"/>
    <w:rsid w:val="0079639E"/>
    <w:rsid w:val="007A258B"/>
    <w:rsid w:val="007A4EDC"/>
    <w:rsid w:val="007A6D2F"/>
    <w:rsid w:val="007A6DD8"/>
    <w:rsid w:val="007A7D36"/>
    <w:rsid w:val="007B4197"/>
    <w:rsid w:val="007C4424"/>
    <w:rsid w:val="007E04FC"/>
    <w:rsid w:val="007E0712"/>
    <w:rsid w:val="007E25E8"/>
    <w:rsid w:val="007E4EF2"/>
    <w:rsid w:val="007E6D3A"/>
    <w:rsid w:val="007E7C01"/>
    <w:rsid w:val="007F1BE4"/>
    <w:rsid w:val="00807033"/>
    <w:rsid w:val="00807547"/>
    <w:rsid w:val="00811025"/>
    <w:rsid w:val="00813035"/>
    <w:rsid w:val="00813FFD"/>
    <w:rsid w:val="008148FA"/>
    <w:rsid w:val="008156B0"/>
    <w:rsid w:val="00817A9D"/>
    <w:rsid w:val="0082200D"/>
    <w:rsid w:val="00832EF0"/>
    <w:rsid w:val="00834E01"/>
    <w:rsid w:val="00836EC7"/>
    <w:rsid w:val="00842297"/>
    <w:rsid w:val="00846B55"/>
    <w:rsid w:val="00847B13"/>
    <w:rsid w:val="00857AC3"/>
    <w:rsid w:val="00870D82"/>
    <w:rsid w:val="00875FCF"/>
    <w:rsid w:val="008826B2"/>
    <w:rsid w:val="00886B99"/>
    <w:rsid w:val="008B5AB9"/>
    <w:rsid w:val="008B6FF8"/>
    <w:rsid w:val="008C6BEC"/>
    <w:rsid w:val="008C7A98"/>
    <w:rsid w:val="008D0BD7"/>
    <w:rsid w:val="008D0FC6"/>
    <w:rsid w:val="008D61A6"/>
    <w:rsid w:val="008D69BA"/>
    <w:rsid w:val="008E0A68"/>
    <w:rsid w:val="008E3746"/>
    <w:rsid w:val="008E41D2"/>
    <w:rsid w:val="008F6A24"/>
    <w:rsid w:val="008F7355"/>
    <w:rsid w:val="0090179E"/>
    <w:rsid w:val="00902ACE"/>
    <w:rsid w:val="00906D87"/>
    <w:rsid w:val="0091341B"/>
    <w:rsid w:val="00921901"/>
    <w:rsid w:val="00921DAA"/>
    <w:rsid w:val="0092412B"/>
    <w:rsid w:val="009254BB"/>
    <w:rsid w:val="00930666"/>
    <w:rsid w:val="00930B18"/>
    <w:rsid w:val="00932096"/>
    <w:rsid w:val="009347BC"/>
    <w:rsid w:val="00936B17"/>
    <w:rsid w:val="00941E4E"/>
    <w:rsid w:val="009432E7"/>
    <w:rsid w:val="00945A5C"/>
    <w:rsid w:val="00956DDF"/>
    <w:rsid w:val="0096169C"/>
    <w:rsid w:val="009643EA"/>
    <w:rsid w:val="009663C7"/>
    <w:rsid w:val="00970809"/>
    <w:rsid w:val="009723B0"/>
    <w:rsid w:val="0097663E"/>
    <w:rsid w:val="00977EE3"/>
    <w:rsid w:val="00977FAC"/>
    <w:rsid w:val="00982EA1"/>
    <w:rsid w:val="00992C81"/>
    <w:rsid w:val="00994DCE"/>
    <w:rsid w:val="00996A48"/>
    <w:rsid w:val="009A43DA"/>
    <w:rsid w:val="009A68CD"/>
    <w:rsid w:val="009B13F5"/>
    <w:rsid w:val="009B29AA"/>
    <w:rsid w:val="009B2BFC"/>
    <w:rsid w:val="009B3C90"/>
    <w:rsid w:val="009B5D22"/>
    <w:rsid w:val="009B7C1F"/>
    <w:rsid w:val="009C1768"/>
    <w:rsid w:val="009D1655"/>
    <w:rsid w:val="009D2E83"/>
    <w:rsid w:val="009D663D"/>
    <w:rsid w:val="009D7513"/>
    <w:rsid w:val="009E0777"/>
    <w:rsid w:val="009E6E22"/>
    <w:rsid w:val="009E78FF"/>
    <w:rsid w:val="009F2F93"/>
    <w:rsid w:val="009F6A52"/>
    <w:rsid w:val="00A04AFD"/>
    <w:rsid w:val="00A04DE1"/>
    <w:rsid w:val="00A15C08"/>
    <w:rsid w:val="00A2070E"/>
    <w:rsid w:val="00A22D03"/>
    <w:rsid w:val="00A243E7"/>
    <w:rsid w:val="00A25EF4"/>
    <w:rsid w:val="00A26B31"/>
    <w:rsid w:val="00A27F04"/>
    <w:rsid w:val="00A3047A"/>
    <w:rsid w:val="00A30807"/>
    <w:rsid w:val="00A4069F"/>
    <w:rsid w:val="00A4093B"/>
    <w:rsid w:val="00A41564"/>
    <w:rsid w:val="00A47948"/>
    <w:rsid w:val="00A5227D"/>
    <w:rsid w:val="00A52B9C"/>
    <w:rsid w:val="00A533B5"/>
    <w:rsid w:val="00A5549A"/>
    <w:rsid w:val="00A6071F"/>
    <w:rsid w:val="00A65C7B"/>
    <w:rsid w:val="00A716A4"/>
    <w:rsid w:val="00A7261B"/>
    <w:rsid w:val="00A74F3E"/>
    <w:rsid w:val="00A90B7F"/>
    <w:rsid w:val="00A93801"/>
    <w:rsid w:val="00A957AD"/>
    <w:rsid w:val="00AA3ECF"/>
    <w:rsid w:val="00AB43E7"/>
    <w:rsid w:val="00AB5AA7"/>
    <w:rsid w:val="00AC37BB"/>
    <w:rsid w:val="00AD06DD"/>
    <w:rsid w:val="00AD22FB"/>
    <w:rsid w:val="00AE26C7"/>
    <w:rsid w:val="00AE3185"/>
    <w:rsid w:val="00AF1F24"/>
    <w:rsid w:val="00AF2D75"/>
    <w:rsid w:val="00AF3F50"/>
    <w:rsid w:val="00AF4883"/>
    <w:rsid w:val="00B01FAF"/>
    <w:rsid w:val="00B02F5C"/>
    <w:rsid w:val="00B16987"/>
    <w:rsid w:val="00B45DD0"/>
    <w:rsid w:val="00B46849"/>
    <w:rsid w:val="00B4739B"/>
    <w:rsid w:val="00B47AEC"/>
    <w:rsid w:val="00B50EA3"/>
    <w:rsid w:val="00B53717"/>
    <w:rsid w:val="00B56AEE"/>
    <w:rsid w:val="00B57191"/>
    <w:rsid w:val="00B72BF9"/>
    <w:rsid w:val="00B7651B"/>
    <w:rsid w:val="00B87DCF"/>
    <w:rsid w:val="00B91720"/>
    <w:rsid w:val="00B945D0"/>
    <w:rsid w:val="00BA011A"/>
    <w:rsid w:val="00BA5263"/>
    <w:rsid w:val="00BB030C"/>
    <w:rsid w:val="00BB285F"/>
    <w:rsid w:val="00BB6FBC"/>
    <w:rsid w:val="00BC04CA"/>
    <w:rsid w:val="00BC4B6A"/>
    <w:rsid w:val="00BC7EB3"/>
    <w:rsid w:val="00BE1668"/>
    <w:rsid w:val="00BE239E"/>
    <w:rsid w:val="00BE3179"/>
    <w:rsid w:val="00BE5028"/>
    <w:rsid w:val="00BE62ED"/>
    <w:rsid w:val="00BE64B0"/>
    <w:rsid w:val="00BF5849"/>
    <w:rsid w:val="00BF7787"/>
    <w:rsid w:val="00C03488"/>
    <w:rsid w:val="00C04BED"/>
    <w:rsid w:val="00C0591A"/>
    <w:rsid w:val="00C13450"/>
    <w:rsid w:val="00C15133"/>
    <w:rsid w:val="00C155EA"/>
    <w:rsid w:val="00C15ADF"/>
    <w:rsid w:val="00C16908"/>
    <w:rsid w:val="00C21363"/>
    <w:rsid w:val="00C23AD8"/>
    <w:rsid w:val="00C25B2E"/>
    <w:rsid w:val="00C314EC"/>
    <w:rsid w:val="00C317C6"/>
    <w:rsid w:val="00C34CB9"/>
    <w:rsid w:val="00C34F68"/>
    <w:rsid w:val="00C36555"/>
    <w:rsid w:val="00C36E02"/>
    <w:rsid w:val="00C4038C"/>
    <w:rsid w:val="00C4544E"/>
    <w:rsid w:val="00C66E7E"/>
    <w:rsid w:val="00C70678"/>
    <w:rsid w:val="00C841CD"/>
    <w:rsid w:val="00C86BE3"/>
    <w:rsid w:val="00C86F57"/>
    <w:rsid w:val="00C92B13"/>
    <w:rsid w:val="00CA339A"/>
    <w:rsid w:val="00CB2AE4"/>
    <w:rsid w:val="00CB43D5"/>
    <w:rsid w:val="00CB60D0"/>
    <w:rsid w:val="00CB66D9"/>
    <w:rsid w:val="00CC0390"/>
    <w:rsid w:val="00CC1DB7"/>
    <w:rsid w:val="00CC47B8"/>
    <w:rsid w:val="00CC7B95"/>
    <w:rsid w:val="00CD047C"/>
    <w:rsid w:val="00CE0D67"/>
    <w:rsid w:val="00CE2DAF"/>
    <w:rsid w:val="00CE6D5E"/>
    <w:rsid w:val="00CF030B"/>
    <w:rsid w:val="00CF2DF3"/>
    <w:rsid w:val="00D02B0F"/>
    <w:rsid w:val="00D0360E"/>
    <w:rsid w:val="00D05026"/>
    <w:rsid w:val="00D128E0"/>
    <w:rsid w:val="00D1334D"/>
    <w:rsid w:val="00D14C15"/>
    <w:rsid w:val="00D17362"/>
    <w:rsid w:val="00D229EA"/>
    <w:rsid w:val="00D22DFD"/>
    <w:rsid w:val="00D3481E"/>
    <w:rsid w:val="00D36815"/>
    <w:rsid w:val="00D425C7"/>
    <w:rsid w:val="00D4328D"/>
    <w:rsid w:val="00D43EC0"/>
    <w:rsid w:val="00D43EDE"/>
    <w:rsid w:val="00D452F1"/>
    <w:rsid w:val="00D501C5"/>
    <w:rsid w:val="00D53C67"/>
    <w:rsid w:val="00D570CA"/>
    <w:rsid w:val="00D601DC"/>
    <w:rsid w:val="00D667DE"/>
    <w:rsid w:val="00D70EC5"/>
    <w:rsid w:val="00D777AA"/>
    <w:rsid w:val="00D82EBB"/>
    <w:rsid w:val="00D8602C"/>
    <w:rsid w:val="00D960E1"/>
    <w:rsid w:val="00DA4403"/>
    <w:rsid w:val="00DA71BD"/>
    <w:rsid w:val="00DB6100"/>
    <w:rsid w:val="00DC16CD"/>
    <w:rsid w:val="00DC3B31"/>
    <w:rsid w:val="00DE137A"/>
    <w:rsid w:val="00DF0113"/>
    <w:rsid w:val="00DF6B06"/>
    <w:rsid w:val="00E175B1"/>
    <w:rsid w:val="00E22878"/>
    <w:rsid w:val="00E2326D"/>
    <w:rsid w:val="00E27EA2"/>
    <w:rsid w:val="00E30AB7"/>
    <w:rsid w:val="00E31554"/>
    <w:rsid w:val="00E34871"/>
    <w:rsid w:val="00E361D8"/>
    <w:rsid w:val="00E419A0"/>
    <w:rsid w:val="00E4417D"/>
    <w:rsid w:val="00E45772"/>
    <w:rsid w:val="00E4680E"/>
    <w:rsid w:val="00E46928"/>
    <w:rsid w:val="00E51A21"/>
    <w:rsid w:val="00E5475D"/>
    <w:rsid w:val="00E66E1B"/>
    <w:rsid w:val="00E703DB"/>
    <w:rsid w:val="00E73757"/>
    <w:rsid w:val="00E73A7B"/>
    <w:rsid w:val="00E74482"/>
    <w:rsid w:val="00E80C90"/>
    <w:rsid w:val="00E81985"/>
    <w:rsid w:val="00E91FCB"/>
    <w:rsid w:val="00E9414A"/>
    <w:rsid w:val="00E94405"/>
    <w:rsid w:val="00E9656A"/>
    <w:rsid w:val="00EA0C3D"/>
    <w:rsid w:val="00EA4273"/>
    <w:rsid w:val="00EA7402"/>
    <w:rsid w:val="00EB1DDA"/>
    <w:rsid w:val="00EB59B3"/>
    <w:rsid w:val="00EC21AE"/>
    <w:rsid w:val="00EC27FD"/>
    <w:rsid w:val="00EC5DB0"/>
    <w:rsid w:val="00ED174B"/>
    <w:rsid w:val="00ED6400"/>
    <w:rsid w:val="00EE092F"/>
    <w:rsid w:val="00EE3718"/>
    <w:rsid w:val="00EE663F"/>
    <w:rsid w:val="00EE75C0"/>
    <w:rsid w:val="00EF1CF4"/>
    <w:rsid w:val="00EF2024"/>
    <w:rsid w:val="00EF33C6"/>
    <w:rsid w:val="00EF4FE6"/>
    <w:rsid w:val="00EF5044"/>
    <w:rsid w:val="00EF7922"/>
    <w:rsid w:val="00F00708"/>
    <w:rsid w:val="00F05432"/>
    <w:rsid w:val="00F0581A"/>
    <w:rsid w:val="00F05A58"/>
    <w:rsid w:val="00F103A2"/>
    <w:rsid w:val="00F10DA9"/>
    <w:rsid w:val="00F20060"/>
    <w:rsid w:val="00F27625"/>
    <w:rsid w:val="00F31CDE"/>
    <w:rsid w:val="00F34430"/>
    <w:rsid w:val="00F42B25"/>
    <w:rsid w:val="00F44430"/>
    <w:rsid w:val="00F52A63"/>
    <w:rsid w:val="00F5389D"/>
    <w:rsid w:val="00F6556B"/>
    <w:rsid w:val="00F66838"/>
    <w:rsid w:val="00F671C6"/>
    <w:rsid w:val="00F73A11"/>
    <w:rsid w:val="00F73BF2"/>
    <w:rsid w:val="00F75C61"/>
    <w:rsid w:val="00F75C9D"/>
    <w:rsid w:val="00F76150"/>
    <w:rsid w:val="00F77C31"/>
    <w:rsid w:val="00F77DA5"/>
    <w:rsid w:val="00F906B0"/>
    <w:rsid w:val="00F911C4"/>
    <w:rsid w:val="00F93DEC"/>
    <w:rsid w:val="00F97B9A"/>
    <w:rsid w:val="00FA2A02"/>
    <w:rsid w:val="00FA724A"/>
    <w:rsid w:val="00FB37E8"/>
    <w:rsid w:val="00FC3FE5"/>
    <w:rsid w:val="00FD0503"/>
    <w:rsid w:val="00FD2855"/>
    <w:rsid w:val="00FD4337"/>
    <w:rsid w:val="00FD7198"/>
    <w:rsid w:val="00FE297E"/>
    <w:rsid w:val="00FE4588"/>
    <w:rsid w:val="00FE4BD6"/>
    <w:rsid w:val="00FE78E2"/>
    <w:rsid w:val="00FF09F2"/>
    <w:rsid w:val="00FF189B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D1B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C317C6"/>
  </w:style>
  <w:style w:type="paragraph" w:styleId="Titre1">
    <w:name w:val="heading 1"/>
    <w:basedOn w:val="Normal"/>
    <w:next w:val="Normal"/>
    <w:link w:val="Titre1Car"/>
    <w:uiPriority w:val="10"/>
    <w:semiHidden/>
    <w:rsid w:val="00FC3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1B62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0"/>
    <w:semiHidden/>
    <w:rsid w:val="008F7355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441B62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10"/>
    <w:semiHidden/>
    <w:rsid w:val="008F7355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D1241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735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441B62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735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441B62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735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D12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735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D12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735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735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46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4626"/>
  </w:style>
  <w:style w:type="paragraph" w:styleId="Pieddepage">
    <w:name w:val="footer"/>
    <w:basedOn w:val="Normal"/>
    <w:link w:val="PieddepageCar"/>
    <w:uiPriority w:val="99"/>
    <w:unhideWhenUsed/>
    <w:rsid w:val="002346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4626"/>
  </w:style>
  <w:style w:type="character" w:styleId="lev">
    <w:name w:val="Strong"/>
    <w:basedOn w:val="Policepardfaut"/>
    <w:uiPriority w:val="22"/>
    <w:qFormat/>
    <w:rsid w:val="008C7A98"/>
    <w:rPr>
      <w:b/>
      <w:bCs/>
    </w:rPr>
  </w:style>
  <w:style w:type="paragraph" w:customStyle="1" w:styleId="AdressedestinataireEdEn">
    <w:name w:val="Adresse destinataire EdEn"/>
    <w:basedOn w:val="Normal"/>
    <w:uiPriority w:val="3"/>
    <w:qFormat/>
    <w:rsid w:val="003C231A"/>
    <w:pPr>
      <w:spacing w:line="280" w:lineRule="exact"/>
      <w:ind w:left="4820"/>
    </w:pPr>
  </w:style>
  <w:style w:type="table" w:styleId="TableauListe4-Accentuation6">
    <w:name w:val="List Table 4 Accent 6"/>
    <w:basedOn w:val="TableauNormal"/>
    <w:uiPriority w:val="49"/>
    <w:rsid w:val="00D02B0F"/>
    <w:tblPr>
      <w:tblStyleRowBandSize w:val="1"/>
      <w:tblStyleColBandSize w:val="1"/>
      <w:tblBorders>
        <w:top w:val="single" w:sz="4" w:space="0" w:color="CAE0A7" w:themeColor="accent6" w:themeTint="99"/>
        <w:left w:val="single" w:sz="4" w:space="0" w:color="CAE0A7" w:themeColor="accent6" w:themeTint="99"/>
        <w:bottom w:val="single" w:sz="4" w:space="0" w:color="CAE0A7" w:themeColor="accent6" w:themeTint="99"/>
        <w:right w:val="single" w:sz="4" w:space="0" w:color="CAE0A7" w:themeColor="accent6" w:themeTint="99"/>
        <w:insideH w:val="single" w:sz="4" w:space="0" w:color="CAE0A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C6D" w:themeColor="accent6"/>
          <w:left w:val="single" w:sz="4" w:space="0" w:color="A8CC6D" w:themeColor="accent6"/>
          <w:bottom w:val="single" w:sz="4" w:space="0" w:color="A8CC6D" w:themeColor="accent6"/>
          <w:right w:val="single" w:sz="4" w:space="0" w:color="A8CC6D" w:themeColor="accent6"/>
          <w:insideH w:val="nil"/>
        </w:tcBorders>
        <w:shd w:val="clear" w:color="auto" w:fill="A8CC6D" w:themeFill="accent6"/>
      </w:tcPr>
    </w:tblStylePr>
    <w:tblStylePr w:type="lastRow">
      <w:rPr>
        <w:b/>
        <w:bCs/>
      </w:rPr>
      <w:tblPr/>
      <w:tcPr>
        <w:tcBorders>
          <w:top w:val="double" w:sz="4" w:space="0" w:color="CAE0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E1" w:themeFill="accent6" w:themeFillTint="33"/>
      </w:tcPr>
    </w:tblStylePr>
    <w:tblStylePr w:type="band1Horz">
      <w:tblPr/>
      <w:tcPr>
        <w:shd w:val="clear" w:color="auto" w:fill="EDF4E1" w:themeFill="accent6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721243"/>
    <w:rPr>
      <w:color w:val="0563C1" w:themeColor="hyperlink"/>
      <w:u w:val="single"/>
    </w:rPr>
  </w:style>
  <w:style w:type="paragraph" w:customStyle="1" w:styleId="Notebasdepage">
    <w:name w:val="Note bas de page"/>
    <w:basedOn w:val="Notedebasdepage"/>
    <w:link w:val="NotebasdepageCar"/>
    <w:autoRedefine/>
    <w:uiPriority w:val="2"/>
    <w:semiHidden/>
    <w:rsid w:val="00444F30"/>
  </w:style>
  <w:style w:type="paragraph" w:customStyle="1" w:styleId="TitreDocEdEn">
    <w:name w:val="Titre Doc EdEn"/>
    <w:qFormat/>
    <w:rsid w:val="00F76150"/>
    <w:pPr>
      <w:pBdr>
        <w:top w:val="single" w:sz="6" w:space="4" w:color="FF4C00"/>
      </w:pBdr>
      <w:spacing w:after="30" w:line="360" w:lineRule="auto"/>
      <w:outlineLvl w:val="0"/>
    </w:pPr>
    <w:rPr>
      <w:b/>
      <w:color w:val="FF4C00"/>
      <w:sz w:val="28"/>
      <w:szCs w:val="36"/>
    </w:rPr>
  </w:style>
  <w:style w:type="paragraph" w:customStyle="1" w:styleId="Titre2Eden">
    <w:name w:val="Titre 2 Eden"/>
    <w:next w:val="TextecourantEdEn"/>
    <w:uiPriority w:val="2"/>
    <w:qFormat/>
    <w:rsid w:val="000C1595"/>
    <w:pPr>
      <w:spacing w:before="120" w:after="60" w:line="276" w:lineRule="auto"/>
      <w:jc w:val="both"/>
      <w:outlineLvl w:val="1"/>
    </w:pPr>
    <w:rPr>
      <w:rFonts w:eastAsia="MS Minngs"/>
      <w:b/>
      <w:color w:val="5C2483" w:themeColor="accent1"/>
      <w:sz w:val="24"/>
      <w:szCs w:val="23"/>
      <w:lang w:eastAsia="fr-FR"/>
    </w:rPr>
  </w:style>
  <w:style w:type="paragraph" w:customStyle="1" w:styleId="Puces1EdEn">
    <w:name w:val="Puces 1 EdEn"/>
    <w:basedOn w:val="Normal"/>
    <w:uiPriority w:val="2"/>
    <w:qFormat/>
    <w:rsid w:val="00290644"/>
    <w:pPr>
      <w:numPr>
        <w:numId w:val="2"/>
      </w:numPr>
      <w:spacing w:before="30" w:after="30" w:line="276" w:lineRule="auto"/>
      <w:ind w:left="714" w:hanging="357"/>
      <w:jc w:val="both"/>
    </w:pPr>
    <w:rPr>
      <w:sz w:val="21"/>
    </w:rPr>
  </w:style>
  <w:style w:type="paragraph" w:styleId="Notedebasdepage">
    <w:name w:val="footnote text"/>
    <w:aliases w:val="Légende bas de page EdEn"/>
    <w:basedOn w:val="Normal"/>
    <w:link w:val="NotedebasdepageCar"/>
    <w:autoRedefine/>
    <w:uiPriority w:val="99"/>
    <w:unhideWhenUsed/>
    <w:qFormat/>
    <w:rsid w:val="001F054A"/>
    <w:rPr>
      <w:i/>
      <w:sz w:val="16"/>
    </w:rPr>
  </w:style>
  <w:style w:type="character" w:customStyle="1" w:styleId="NotedebasdepageCar">
    <w:name w:val="Note de bas de page Car"/>
    <w:aliases w:val="Légende bas de page EdEn Car"/>
    <w:basedOn w:val="Policepardfaut"/>
    <w:link w:val="Notedebasdepage"/>
    <w:uiPriority w:val="99"/>
    <w:rsid w:val="001F054A"/>
    <w:rPr>
      <w:i/>
      <w:sz w:val="16"/>
    </w:rPr>
  </w:style>
  <w:style w:type="character" w:styleId="Appelnotedebasdep">
    <w:name w:val="footnote reference"/>
    <w:basedOn w:val="Policepardfaut"/>
    <w:uiPriority w:val="99"/>
    <w:unhideWhenUsed/>
    <w:rsid w:val="00E74482"/>
    <w:rPr>
      <w:vertAlign w:val="superscript"/>
    </w:rPr>
  </w:style>
  <w:style w:type="paragraph" w:customStyle="1" w:styleId="NotesEden">
    <w:name w:val="Notes Eden"/>
    <w:link w:val="NotesEdenCar"/>
    <w:uiPriority w:val="4"/>
    <w:qFormat/>
    <w:rsid w:val="001F054A"/>
    <w:pPr>
      <w:spacing w:line="208" w:lineRule="exact"/>
      <w:jc w:val="center"/>
    </w:pPr>
    <w:rPr>
      <w:i/>
      <w:sz w:val="16"/>
      <w:szCs w:val="16"/>
    </w:rPr>
  </w:style>
  <w:style w:type="character" w:customStyle="1" w:styleId="NotesEdenCar">
    <w:name w:val="Notes Eden Car"/>
    <w:basedOn w:val="NotedebasdepageCar"/>
    <w:link w:val="NotesEden"/>
    <w:uiPriority w:val="4"/>
    <w:rsid w:val="001F054A"/>
    <w:rPr>
      <w:i/>
      <w:sz w:val="16"/>
      <w:szCs w:val="16"/>
    </w:rPr>
  </w:style>
  <w:style w:type="paragraph" w:customStyle="1" w:styleId="Titre3EdEn">
    <w:name w:val="Titre 3 EdEn"/>
    <w:basedOn w:val="Titre2Eden"/>
    <w:uiPriority w:val="2"/>
    <w:qFormat/>
    <w:rsid w:val="00F75C9D"/>
    <w:pPr>
      <w:numPr>
        <w:ilvl w:val="2"/>
      </w:numPr>
      <w:tabs>
        <w:tab w:val="left" w:pos="709"/>
        <w:tab w:val="left" w:pos="1134"/>
      </w:tabs>
      <w:outlineLvl w:val="2"/>
    </w:pPr>
    <w:rPr>
      <w:color w:val="000000" w:themeColor="text1"/>
      <w:sz w:val="22"/>
      <w:szCs w:val="20"/>
    </w:rPr>
  </w:style>
  <w:style w:type="paragraph" w:customStyle="1" w:styleId="TextecourantEdEn">
    <w:name w:val="Texte courant EdEn"/>
    <w:basedOn w:val="Normal"/>
    <w:link w:val="TextecourantEdEnCar"/>
    <w:qFormat/>
    <w:rsid w:val="00290644"/>
    <w:pPr>
      <w:tabs>
        <w:tab w:val="left" w:pos="3544"/>
      </w:tabs>
      <w:spacing w:after="120" w:line="276" w:lineRule="auto"/>
      <w:jc w:val="both"/>
    </w:pPr>
    <w:rPr>
      <w:sz w:val="21"/>
    </w:rPr>
  </w:style>
  <w:style w:type="paragraph" w:customStyle="1" w:styleId="Titre1Eden">
    <w:name w:val="Titre 1 Eden"/>
    <w:basedOn w:val="Titre2Eden"/>
    <w:uiPriority w:val="2"/>
    <w:qFormat/>
    <w:rsid w:val="00977EE3"/>
    <w:pPr>
      <w:spacing w:after="120"/>
      <w:outlineLvl w:val="0"/>
    </w:pPr>
    <w:rPr>
      <w:color w:val="FF4C00"/>
      <w:sz w:val="26"/>
      <w:szCs w:val="26"/>
    </w:rPr>
  </w:style>
  <w:style w:type="paragraph" w:customStyle="1" w:styleId="Puces2EdEn">
    <w:name w:val="Puces 2 EdEn"/>
    <w:basedOn w:val="Puces1EdEn"/>
    <w:uiPriority w:val="2"/>
    <w:qFormat/>
    <w:rsid w:val="0026526D"/>
    <w:pPr>
      <w:numPr>
        <w:numId w:val="1"/>
      </w:numPr>
      <w:ind w:left="993" w:hanging="284"/>
    </w:pPr>
  </w:style>
  <w:style w:type="table" w:styleId="TableauGrille5Fonc-Accentuation6">
    <w:name w:val="Grid Table 5 Dark Accent 6"/>
    <w:aliases w:val="EdEn Tableau EdEn"/>
    <w:basedOn w:val="TableauNormal"/>
    <w:uiPriority w:val="50"/>
    <w:rsid w:val="004404C3"/>
    <w:rPr>
      <w:rFonts w:cs="Times New Roman (Corps CS)"/>
      <w:b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DF4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CC6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CC6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CC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CC6D" w:themeFill="accent6"/>
      </w:tcPr>
    </w:tblStylePr>
    <w:tblStylePr w:type="band1Vert">
      <w:tblPr/>
      <w:tcPr>
        <w:shd w:val="clear" w:color="auto" w:fill="DCEAC4" w:themeFill="accent6" w:themeFillTint="66"/>
      </w:tcPr>
    </w:tblStylePr>
    <w:tblStylePr w:type="band1Horz">
      <w:tblPr/>
      <w:tcPr>
        <w:shd w:val="clear" w:color="auto" w:fill="DCEAC4" w:themeFill="accent6" w:themeFillTint="66"/>
      </w:tcPr>
    </w:tblStylePr>
  </w:style>
  <w:style w:type="character" w:customStyle="1" w:styleId="Titre1Car">
    <w:name w:val="Titre 1 Car"/>
    <w:basedOn w:val="Policepardfaut"/>
    <w:link w:val="Titre1"/>
    <w:uiPriority w:val="10"/>
    <w:semiHidden/>
    <w:rsid w:val="00105D21"/>
    <w:rPr>
      <w:rFonts w:asciiTheme="majorHAnsi" w:eastAsiaTheme="majorEastAsia" w:hAnsiTheme="majorHAnsi" w:cstheme="majorBidi"/>
      <w:color w:val="441B62" w:themeColor="accent1" w:themeShade="BF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FC3F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7651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auListe2-Accentuation3">
    <w:name w:val="List Table 2 Accent 3"/>
    <w:basedOn w:val="TableauNormal"/>
    <w:uiPriority w:val="47"/>
    <w:rsid w:val="00D02B0F"/>
    <w:tblPr>
      <w:tblStyleRowBandSize w:val="1"/>
      <w:tblStyleColBandSize w:val="1"/>
      <w:tblBorders>
        <w:top w:val="single" w:sz="4" w:space="0" w:color="FF9366" w:themeColor="accent3" w:themeTint="99"/>
        <w:bottom w:val="single" w:sz="4" w:space="0" w:color="FF9366" w:themeColor="accent3" w:themeTint="99"/>
        <w:insideH w:val="single" w:sz="4" w:space="0" w:color="FF93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C" w:themeFill="accent3" w:themeFillTint="33"/>
      </w:tcPr>
    </w:tblStylePr>
    <w:tblStylePr w:type="band1Horz">
      <w:tblPr/>
      <w:tcPr>
        <w:shd w:val="clear" w:color="auto" w:fill="FFDBCC" w:themeFill="accent3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7B41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4197"/>
  </w:style>
  <w:style w:type="character" w:customStyle="1" w:styleId="CommentaireCar">
    <w:name w:val="Commentaire Car"/>
    <w:basedOn w:val="Policepardfaut"/>
    <w:link w:val="Commentaire"/>
    <w:uiPriority w:val="99"/>
    <w:semiHidden/>
    <w:rsid w:val="007B4197"/>
    <w:rPr>
      <w:rFonts w:ascii="Cambria" w:eastAsia="MS Minngs" w:hAnsi="Cambri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41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4197"/>
    <w:rPr>
      <w:rFonts w:ascii="Cambria" w:eastAsia="MS Minngs" w:hAnsi="Cambria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D0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539CE"/>
    <w:rPr>
      <w:rFonts w:ascii="Cambria" w:eastAsia="MS Minngs" w:hAnsi="Cambria" w:cs="Times New Roman"/>
      <w:lang w:eastAsia="fr-FR"/>
    </w:rPr>
  </w:style>
  <w:style w:type="paragraph" w:customStyle="1" w:styleId="Titre4EdEn">
    <w:name w:val="Titre 4 EdEn"/>
    <w:basedOn w:val="Titre3EdEn"/>
    <w:uiPriority w:val="2"/>
    <w:rsid w:val="00C21363"/>
    <w:pPr>
      <w:numPr>
        <w:ilvl w:val="3"/>
      </w:numPr>
      <w:tabs>
        <w:tab w:val="clear" w:pos="1134"/>
      </w:tabs>
    </w:pPr>
    <w:rPr>
      <w:b w:val="0"/>
    </w:rPr>
  </w:style>
  <w:style w:type="numbering" w:styleId="111111">
    <w:name w:val="Outline List 2"/>
    <w:basedOn w:val="Aucuneliste"/>
    <w:uiPriority w:val="99"/>
    <w:semiHidden/>
    <w:unhideWhenUsed/>
    <w:rsid w:val="00A26B31"/>
    <w:pPr>
      <w:numPr>
        <w:numId w:val="3"/>
      </w:numPr>
    </w:pPr>
  </w:style>
  <w:style w:type="paragraph" w:customStyle="1" w:styleId="DateEdEn">
    <w:name w:val="Date EdEn"/>
    <w:basedOn w:val="Normal"/>
    <w:qFormat/>
    <w:rsid w:val="00AD06DD"/>
    <w:pPr>
      <w:spacing w:after="120" w:line="260" w:lineRule="exact"/>
    </w:pPr>
    <w:rPr>
      <w:color w:val="5C2483" w:themeColor="accent1"/>
      <w:sz w:val="21"/>
    </w:rPr>
  </w:style>
  <w:style w:type="table" w:styleId="TableauListe6Couleur-Accentuation6">
    <w:name w:val="List Table 6 Colorful Accent 6"/>
    <w:basedOn w:val="TableauNormal"/>
    <w:uiPriority w:val="51"/>
    <w:rsid w:val="00D02B0F"/>
    <w:rPr>
      <w:color w:val="82AD3C" w:themeColor="accent6" w:themeShade="BF"/>
    </w:rPr>
    <w:tblPr>
      <w:tblStyleRowBandSize w:val="1"/>
      <w:tblStyleColBandSize w:val="1"/>
      <w:tblBorders>
        <w:top w:val="single" w:sz="4" w:space="0" w:color="A8CC6D" w:themeColor="accent6"/>
        <w:bottom w:val="single" w:sz="4" w:space="0" w:color="A8CC6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CC6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CC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E1" w:themeFill="accent6" w:themeFillTint="33"/>
      </w:tcPr>
    </w:tblStylePr>
    <w:tblStylePr w:type="band1Horz">
      <w:tblPr/>
      <w:tcPr>
        <w:shd w:val="clear" w:color="auto" w:fill="EDF4E1" w:themeFill="accent6" w:themeFillTint="33"/>
      </w:tcPr>
    </w:tblStylePr>
  </w:style>
  <w:style w:type="table" w:styleId="TableauListe3-Accentuation6">
    <w:name w:val="List Table 3 Accent 6"/>
    <w:basedOn w:val="TableauNormal"/>
    <w:uiPriority w:val="48"/>
    <w:rsid w:val="00D02B0F"/>
    <w:tblPr>
      <w:tblStyleRowBandSize w:val="1"/>
      <w:tblStyleColBandSize w:val="1"/>
      <w:tblBorders>
        <w:top w:val="single" w:sz="4" w:space="0" w:color="A8CC6D" w:themeColor="accent6"/>
        <w:left w:val="single" w:sz="4" w:space="0" w:color="A8CC6D" w:themeColor="accent6"/>
        <w:bottom w:val="single" w:sz="4" w:space="0" w:color="A8CC6D" w:themeColor="accent6"/>
        <w:right w:val="single" w:sz="4" w:space="0" w:color="A8CC6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CC6D" w:themeFill="accent6"/>
      </w:tcPr>
    </w:tblStylePr>
    <w:tblStylePr w:type="lastRow">
      <w:rPr>
        <w:b/>
        <w:bCs/>
      </w:rPr>
      <w:tblPr/>
      <w:tcPr>
        <w:tcBorders>
          <w:top w:val="double" w:sz="4" w:space="0" w:color="A8CC6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CC6D" w:themeColor="accent6"/>
          <w:right w:val="single" w:sz="4" w:space="0" w:color="A8CC6D" w:themeColor="accent6"/>
        </w:tcBorders>
      </w:tcPr>
    </w:tblStylePr>
    <w:tblStylePr w:type="band1Horz">
      <w:tblPr/>
      <w:tcPr>
        <w:tcBorders>
          <w:top w:val="single" w:sz="4" w:space="0" w:color="A8CC6D" w:themeColor="accent6"/>
          <w:bottom w:val="single" w:sz="4" w:space="0" w:color="A8CC6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CC6D" w:themeColor="accent6"/>
          <w:left w:val="nil"/>
        </w:tcBorders>
      </w:tcPr>
    </w:tblStylePr>
    <w:tblStylePr w:type="swCell">
      <w:tblPr/>
      <w:tcPr>
        <w:tcBorders>
          <w:top w:val="double" w:sz="4" w:space="0" w:color="A8CC6D" w:themeColor="accent6"/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D02B0F"/>
    <w:tblPr>
      <w:tblStyleRowBandSize w:val="1"/>
      <w:tblStyleColBandSize w:val="1"/>
      <w:tblBorders>
        <w:top w:val="single" w:sz="4" w:space="0" w:color="B6E3F9" w:themeColor="accent5" w:themeTint="99"/>
        <w:left w:val="single" w:sz="4" w:space="0" w:color="B6E3F9" w:themeColor="accent5" w:themeTint="99"/>
        <w:bottom w:val="single" w:sz="4" w:space="0" w:color="B6E3F9" w:themeColor="accent5" w:themeTint="99"/>
        <w:right w:val="single" w:sz="4" w:space="0" w:color="B6E3F9" w:themeColor="accent5" w:themeTint="99"/>
        <w:insideH w:val="single" w:sz="4" w:space="0" w:color="B6E3F9" w:themeColor="accent5" w:themeTint="99"/>
        <w:insideV w:val="single" w:sz="4" w:space="0" w:color="B6E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D1F5" w:themeColor="accent5"/>
          <w:left w:val="single" w:sz="4" w:space="0" w:color="86D1F5" w:themeColor="accent5"/>
          <w:bottom w:val="single" w:sz="4" w:space="0" w:color="86D1F5" w:themeColor="accent5"/>
          <w:right w:val="single" w:sz="4" w:space="0" w:color="86D1F5" w:themeColor="accent5"/>
          <w:insideH w:val="nil"/>
          <w:insideV w:val="nil"/>
        </w:tcBorders>
        <w:shd w:val="clear" w:color="auto" w:fill="86D1F5" w:themeFill="accent5"/>
      </w:tcPr>
    </w:tblStylePr>
    <w:tblStylePr w:type="lastRow">
      <w:rPr>
        <w:b/>
        <w:bCs/>
      </w:rPr>
      <w:tblPr/>
      <w:tcPr>
        <w:tcBorders>
          <w:top w:val="double" w:sz="4" w:space="0" w:color="86D1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D" w:themeFill="accent5" w:themeFillTint="33"/>
      </w:tcPr>
    </w:tblStylePr>
    <w:tblStylePr w:type="band1Horz">
      <w:tblPr/>
      <w:tcPr>
        <w:shd w:val="clear" w:color="auto" w:fill="E6F5FD" w:themeFill="accent5" w:themeFillTint="33"/>
      </w:tcPr>
    </w:tblStylePr>
  </w:style>
  <w:style w:type="table" w:styleId="TableauListe5Fonc-Accentuation2">
    <w:name w:val="List Table 5 Dark Accent 2"/>
    <w:basedOn w:val="TableauNormal"/>
    <w:uiPriority w:val="50"/>
    <w:rsid w:val="004404C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10"/>
    <w:semiHidden/>
    <w:rsid w:val="00105D21"/>
    <w:rPr>
      <w:rFonts w:asciiTheme="majorHAnsi" w:eastAsiaTheme="majorEastAsia" w:hAnsiTheme="majorHAnsi" w:cstheme="majorBidi"/>
      <w:color w:val="441B62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0"/>
    <w:semiHidden/>
    <w:rsid w:val="00105D21"/>
    <w:rPr>
      <w:rFonts w:asciiTheme="majorHAnsi" w:eastAsiaTheme="majorEastAsia" w:hAnsiTheme="majorHAnsi" w:cstheme="majorBidi"/>
      <w:color w:val="2D1241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8F7355"/>
    <w:rPr>
      <w:rFonts w:asciiTheme="majorHAnsi" w:eastAsiaTheme="majorEastAsia" w:hAnsiTheme="majorHAnsi" w:cstheme="majorBidi"/>
      <w:i/>
      <w:iCs/>
      <w:color w:val="441B62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7355"/>
    <w:rPr>
      <w:rFonts w:asciiTheme="majorHAnsi" w:eastAsiaTheme="majorEastAsia" w:hAnsiTheme="majorHAnsi" w:cstheme="majorBidi"/>
      <w:color w:val="441B62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7355"/>
    <w:rPr>
      <w:rFonts w:asciiTheme="majorHAnsi" w:eastAsiaTheme="majorEastAsia" w:hAnsiTheme="majorHAnsi" w:cstheme="majorBidi"/>
      <w:color w:val="2D12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F7355"/>
    <w:rPr>
      <w:rFonts w:asciiTheme="majorHAnsi" w:eastAsiaTheme="majorEastAsia" w:hAnsiTheme="majorHAnsi" w:cstheme="majorBidi"/>
      <w:i/>
      <w:iCs/>
      <w:color w:val="2D124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F73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F73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listeEdEn">
    <w:name w:val="1. liste EdEn"/>
    <w:basedOn w:val="Titre1Eden"/>
    <w:uiPriority w:val="1"/>
    <w:qFormat/>
    <w:rsid w:val="00977EE3"/>
    <w:pPr>
      <w:numPr>
        <w:numId w:val="5"/>
      </w:numPr>
      <w:ind w:left="357" w:hanging="357"/>
      <w:outlineLvl w:val="1"/>
    </w:pPr>
    <w:rPr>
      <w:shd w:val="clear" w:color="auto" w:fill="FFFFFF"/>
    </w:rPr>
  </w:style>
  <w:style w:type="paragraph" w:customStyle="1" w:styleId="11liste">
    <w:name w:val="1.1 liste"/>
    <w:basedOn w:val="Titre2Eden"/>
    <w:uiPriority w:val="1"/>
    <w:qFormat/>
    <w:rsid w:val="000C1595"/>
    <w:pPr>
      <w:numPr>
        <w:ilvl w:val="1"/>
        <w:numId w:val="5"/>
      </w:numPr>
      <w:ind w:left="788" w:hanging="431"/>
      <w:outlineLvl w:val="2"/>
    </w:pPr>
    <w:rPr>
      <w:shd w:val="clear" w:color="auto" w:fill="FFFFFF"/>
    </w:rPr>
  </w:style>
  <w:style w:type="paragraph" w:customStyle="1" w:styleId="111liste">
    <w:name w:val="1.1.1 liste"/>
    <w:basedOn w:val="Titre3EdEn"/>
    <w:uiPriority w:val="1"/>
    <w:qFormat/>
    <w:rsid w:val="000C1595"/>
    <w:pPr>
      <w:numPr>
        <w:numId w:val="5"/>
      </w:numPr>
      <w:ind w:left="1287" w:hanging="567"/>
      <w:outlineLvl w:val="3"/>
    </w:pPr>
    <w:rPr>
      <w:shd w:val="clear" w:color="auto" w:fill="FFFFFF"/>
    </w:rPr>
  </w:style>
  <w:style w:type="paragraph" w:customStyle="1" w:styleId="1111liste">
    <w:name w:val="1.1.1.1 liste"/>
    <w:basedOn w:val="Titre4EdEn"/>
    <w:uiPriority w:val="2"/>
    <w:qFormat/>
    <w:rsid w:val="000C1595"/>
    <w:pPr>
      <w:numPr>
        <w:numId w:val="5"/>
      </w:numPr>
      <w:tabs>
        <w:tab w:val="left" w:pos="1814"/>
      </w:tabs>
      <w:ind w:left="1723" w:hanging="646"/>
      <w:outlineLvl w:val="4"/>
    </w:pPr>
    <w:rPr>
      <w:shd w:val="clear" w:color="auto" w:fill="FFFFFF"/>
    </w:rPr>
  </w:style>
  <w:style w:type="character" w:styleId="Titredulivre">
    <w:name w:val="Book Title"/>
    <w:basedOn w:val="Policepardfaut"/>
    <w:uiPriority w:val="33"/>
    <w:semiHidden/>
    <w:rsid w:val="000D1900"/>
    <w:rPr>
      <w:b/>
      <w:bCs/>
      <w:i/>
      <w:iCs/>
      <w:spacing w:val="5"/>
    </w:rPr>
  </w:style>
  <w:style w:type="paragraph" w:customStyle="1" w:styleId="BANDEAU">
    <w:name w:val="BANDEAU"/>
    <w:basedOn w:val="TextecourantEdEn"/>
    <w:next w:val="Titre1Eden"/>
    <w:uiPriority w:val="2"/>
    <w:qFormat/>
    <w:rsid w:val="009B5D22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5C2483" w:themeFill="accent1"/>
      <w:jc w:val="center"/>
    </w:pPr>
    <w:rPr>
      <w:b/>
      <w:bCs/>
      <w:color w:val="E7E6E6" w:themeColor="background2"/>
      <w:sz w:val="26"/>
      <w:szCs w:val="24"/>
    </w:rPr>
  </w:style>
  <w:style w:type="character" w:customStyle="1" w:styleId="TextecourantEdEnCar">
    <w:name w:val="Texte courant EdEn Car"/>
    <w:basedOn w:val="Policepardfaut"/>
    <w:link w:val="TextecourantEdEn"/>
    <w:rsid w:val="00290644"/>
    <w:rPr>
      <w:sz w:val="21"/>
    </w:rPr>
  </w:style>
  <w:style w:type="paragraph" w:customStyle="1" w:styleId="TextecourrierEden">
    <w:name w:val="Texte courrier Eden"/>
    <w:uiPriority w:val="3"/>
    <w:rsid w:val="002164CF"/>
    <w:pPr>
      <w:spacing w:after="120" w:line="260" w:lineRule="exact"/>
    </w:pPr>
  </w:style>
  <w:style w:type="character" w:styleId="Rfrenceintense">
    <w:name w:val="Intense Reference"/>
    <w:basedOn w:val="Policepardfaut"/>
    <w:uiPriority w:val="32"/>
    <w:semiHidden/>
    <w:rsid w:val="007054F3"/>
    <w:rPr>
      <w:b/>
      <w:bCs/>
      <w:smallCaps/>
      <w:color w:val="5C2483" w:themeColor="accent1"/>
      <w:spacing w:val="5"/>
    </w:rPr>
  </w:style>
  <w:style w:type="character" w:customStyle="1" w:styleId="NotebasdepageCar">
    <w:name w:val="Note bas de page Car"/>
    <w:basedOn w:val="NotedebasdepageCar"/>
    <w:link w:val="Notebasdepage"/>
    <w:uiPriority w:val="2"/>
    <w:semiHidden/>
    <w:rsid w:val="00105D21"/>
    <w:rPr>
      <w:i/>
      <w:sz w:val="16"/>
    </w:rPr>
  </w:style>
  <w:style w:type="paragraph" w:customStyle="1" w:styleId="Style1">
    <w:name w:val="Style1"/>
    <w:basedOn w:val="Notebasdepage"/>
    <w:link w:val="Style1Car"/>
    <w:uiPriority w:val="4"/>
    <w:semiHidden/>
    <w:rsid w:val="00E31554"/>
    <w:rPr>
      <w:sz w:val="18"/>
    </w:rPr>
  </w:style>
  <w:style w:type="character" w:customStyle="1" w:styleId="Style1Car">
    <w:name w:val="Style1 Car"/>
    <w:basedOn w:val="NotebasdepageCar"/>
    <w:link w:val="Style1"/>
    <w:uiPriority w:val="4"/>
    <w:semiHidden/>
    <w:rsid w:val="00105D21"/>
    <w:rPr>
      <w:i/>
      <w:sz w:val="18"/>
    </w:rPr>
  </w:style>
  <w:style w:type="paragraph" w:customStyle="1" w:styleId="BasdepageEdEn">
    <w:name w:val="Bas de page EdEn"/>
    <w:basedOn w:val="Notedebasdepage"/>
    <w:link w:val="BasdepageEdEnCar"/>
    <w:uiPriority w:val="5"/>
    <w:rsid w:val="00A716A4"/>
  </w:style>
  <w:style w:type="character" w:customStyle="1" w:styleId="BasdepageEdEnCar">
    <w:name w:val="Bas de page EdEn Car"/>
    <w:basedOn w:val="NotedebasdepageCar"/>
    <w:link w:val="BasdepageEdEn"/>
    <w:uiPriority w:val="5"/>
    <w:rsid w:val="00A716A4"/>
    <w:rPr>
      <w:i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D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82"/>
    <w:rPr>
      <w:rFonts w:ascii="Segoe UI" w:hAnsi="Segoe UI" w:cs="Segoe UI"/>
      <w:sz w:val="18"/>
      <w:szCs w:val="18"/>
    </w:rPr>
  </w:style>
  <w:style w:type="numbering" w:customStyle="1" w:styleId="Puce2">
    <w:name w:val="Puce 2"/>
    <w:uiPriority w:val="99"/>
    <w:rsid w:val="00316AFE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E2DAF"/>
    <w:rPr>
      <w:rFonts w:ascii="Calibri" w:hAnsi="Calibri"/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34430"/>
    <w:rPr>
      <w:color w:val="605E5C"/>
      <w:shd w:val="clear" w:color="auto" w:fill="E1DFDD"/>
    </w:rPr>
  </w:style>
  <w:style w:type="paragraph" w:customStyle="1" w:styleId="Default">
    <w:name w:val="Default"/>
    <w:rsid w:val="00EF7922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pple-tab-span">
    <w:name w:val="apple-tab-span"/>
    <w:basedOn w:val="Policepardfaut"/>
    <w:rsid w:val="00C4038C"/>
  </w:style>
  <w:style w:type="character" w:styleId="Lienhypertextesuivivisit">
    <w:name w:val="FollowedHyperlink"/>
    <w:basedOn w:val="Policepardfaut"/>
    <w:uiPriority w:val="99"/>
    <w:semiHidden/>
    <w:unhideWhenUsed/>
    <w:rsid w:val="00A90B7F"/>
    <w:rPr>
      <w:color w:val="954F72" w:themeColor="followedHyperlink"/>
      <w:u w:val="single"/>
    </w:rPr>
  </w:style>
  <w:style w:type="table" w:styleId="TableauGrille6Couleur-Accentuation1">
    <w:name w:val="Grid Table 6 Colorful Accent 1"/>
    <w:basedOn w:val="TableauNormal"/>
    <w:uiPriority w:val="51"/>
    <w:rsid w:val="001E3D97"/>
    <w:rPr>
      <w:color w:val="441B62" w:themeColor="accent1" w:themeShade="BF"/>
    </w:rPr>
    <w:tblPr>
      <w:tblStyleRowBandSize w:val="1"/>
      <w:tblStyleColBandSize w:val="1"/>
      <w:tblBorders>
        <w:top w:val="single" w:sz="4" w:space="0" w:color="A25DD2" w:themeColor="accent1" w:themeTint="99"/>
        <w:left w:val="single" w:sz="4" w:space="0" w:color="A25DD2" w:themeColor="accent1" w:themeTint="99"/>
        <w:bottom w:val="single" w:sz="4" w:space="0" w:color="A25DD2" w:themeColor="accent1" w:themeTint="99"/>
        <w:right w:val="single" w:sz="4" w:space="0" w:color="A25DD2" w:themeColor="accent1" w:themeTint="99"/>
        <w:insideH w:val="single" w:sz="4" w:space="0" w:color="A25DD2" w:themeColor="accent1" w:themeTint="99"/>
        <w:insideV w:val="single" w:sz="4" w:space="0" w:color="A25D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5D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5D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9F0" w:themeFill="accent1" w:themeFillTint="33"/>
      </w:tcPr>
    </w:tblStylePr>
    <w:tblStylePr w:type="band1Horz">
      <w:tblPr/>
      <w:tcPr>
        <w:shd w:val="clear" w:color="auto" w:fill="E0C9F0" w:themeFill="accent1" w:themeFillTint="33"/>
      </w:tcPr>
    </w:tblStylePr>
  </w:style>
  <w:style w:type="character" w:customStyle="1" w:styleId="Mentionnonrsolue2">
    <w:name w:val="Mention non résolue2"/>
    <w:basedOn w:val="Policepardfaut"/>
    <w:uiPriority w:val="99"/>
    <w:semiHidden/>
    <w:unhideWhenUsed/>
    <w:rsid w:val="009A68C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52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97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62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0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3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3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uilibredesenergies.org/pdf/PROPOSITIONS_EDEN_PRESIDENTIELLE_vF.pdf?v=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quilibredesenergies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EDEN WOR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C2483"/>
      </a:accent1>
      <a:accent2>
        <a:srgbClr val="ED7D31"/>
      </a:accent2>
      <a:accent3>
        <a:srgbClr val="FF4C00"/>
      </a:accent3>
      <a:accent4>
        <a:srgbClr val="AC80B2"/>
      </a:accent4>
      <a:accent5>
        <a:srgbClr val="86D1F5"/>
      </a:accent5>
      <a:accent6>
        <a:srgbClr val="A8CC6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9317-DC8F-4B3D-B34C-B2D33B53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1009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Juin 2017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Olivier Lagrange</cp:lastModifiedBy>
  <cp:revision>7</cp:revision>
  <cp:lastPrinted>2019-11-28T10:03:00Z</cp:lastPrinted>
  <dcterms:created xsi:type="dcterms:W3CDTF">2022-01-19T11:07:00Z</dcterms:created>
  <dcterms:modified xsi:type="dcterms:W3CDTF">2022-01-26T10:58:00Z</dcterms:modified>
</cp:coreProperties>
</file>